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版本号：SXZH202502220251013001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山阳县2025年村级污水处理站委托运营服务项目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SXZH2025022</w:t>
      </w:r>
      <w:r>
        <w:br/>
      </w:r>
      <w:r>
        <w:br/>
      </w:r>
      <w:r>
        <w:br/>
      </w:r>
    </w:p>
    <w:p>
      <w:pPr>
        <w:pStyle w:val="null3"/>
        <w:jc w:val="center"/>
        <w:outlineLvl w:val="2"/>
      </w:pPr>
      <w:r>
        <w:rPr>
          <w:rFonts w:ascii="仿宋_GB2312" w:hAnsi="仿宋_GB2312" w:cs="仿宋_GB2312" w:eastAsia="仿宋_GB2312"/>
          <w:sz w:val="28"/>
          <w:b/>
        </w:rPr>
        <w:t>商洛市生态环境局山阳县分局</w:t>
      </w:r>
    </w:p>
    <w:p>
      <w:pPr>
        <w:pStyle w:val="null3"/>
        <w:jc w:val="center"/>
        <w:outlineLvl w:val="2"/>
      </w:pPr>
      <w:r>
        <w:rPr>
          <w:rFonts w:ascii="仿宋_GB2312" w:hAnsi="仿宋_GB2312" w:cs="仿宋_GB2312" w:eastAsia="仿宋_GB2312"/>
          <w:sz w:val="28"/>
          <w:b/>
        </w:rPr>
        <w:t>陕西中辉项目管理有限公司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陕西中辉项目管理有限公司</w:t>
      </w:r>
      <w:r>
        <w:rPr>
          <w:rFonts w:ascii="仿宋_GB2312" w:hAnsi="仿宋_GB2312" w:cs="仿宋_GB2312" w:eastAsia="仿宋_GB2312"/>
        </w:rPr>
        <w:t>（以下简称“代理机构”）受</w:t>
      </w:r>
      <w:r>
        <w:rPr>
          <w:rFonts w:ascii="仿宋_GB2312" w:hAnsi="仿宋_GB2312" w:cs="仿宋_GB2312" w:eastAsia="仿宋_GB2312"/>
        </w:rPr>
        <w:t>商洛市生态环境局山阳县分局</w:t>
      </w:r>
      <w:r>
        <w:rPr>
          <w:rFonts w:ascii="仿宋_GB2312" w:hAnsi="仿宋_GB2312" w:cs="仿宋_GB2312" w:eastAsia="仿宋_GB2312"/>
        </w:rPr>
        <w:t>委托，拟对</w:t>
      </w:r>
      <w:r>
        <w:rPr>
          <w:rFonts w:ascii="仿宋_GB2312" w:hAnsi="仿宋_GB2312" w:cs="仿宋_GB2312" w:eastAsia="仿宋_GB2312"/>
        </w:rPr>
        <w:t>山阳县2025年村级污水处理站委托运营服务项目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山阳县2025年村级污水处理站委托运营服务项目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对山阳县已建成的22个村级污水处理站及相关配套设施进行运行维护管理，运营期1年。确保出水水质达到《农村生活污水处理设施水污染物排放标准》(DB61/1227-2018)一级标准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采购包1（山阳县2025年村级污水处理站委托运营服务项目）：属于专门面向小微企业采购。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1、具有独立承担民事责任能力的法人、其他组织或自然人：投标人 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2、财务状况报告：投标人提供2024年的财务审计报告（成立时间至投标截止时间不足一年的可提供成立后任意时段的资产负债表），或其开标前三个月内基本开户银行出具的资信证明及基本存款账户信息。</w:t>
      </w:r>
    </w:p>
    <w:p>
      <w:pPr>
        <w:pStyle w:val="null3"/>
      </w:pPr>
      <w:r>
        <w:rPr>
          <w:rFonts w:ascii="仿宋_GB2312" w:hAnsi="仿宋_GB2312" w:cs="仿宋_GB2312" w:eastAsia="仿宋_GB2312"/>
        </w:rPr>
        <w:t>3、税收缴纳证明：投标人提供投标截止日前半年内已缴纳任意1个月的纳税证明或完税证明（任意税种），依法免税的单位应提供相关的证明材料。</w:t>
      </w:r>
    </w:p>
    <w:p>
      <w:pPr>
        <w:pStyle w:val="null3"/>
      </w:pPr>
      <w:r>
        <w:rPr>
          <w:rFonts w:ascii="仿宋_GB2312" w:hAnsi="仿宋_GB2312" w:cs="仿宋_GB2312" w:eastAsia="仿宋_GB2312"/>
        </w:rPr>
        <w:t>4、社会保障资金缴纳证明：投标人提供投标截止日前半年内已缴存的任意1个月的社会保障资金缴存单据或社保机构开具的社会保险参保缴费情况证明；依法不需要缴纳社会保障资金的单位应提供相关证明材料。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6、履行本合同所必需的设备和专业技术能力：提供具有履行合同所必需的设备和专业技术能力的承诺函。</w:t>
      </w:r>
    </w:p>
    <w:p>
      <w:pPr>
        <w:pStyle w:val="null3"/>
      </w:pPr>
      <w:r>
        <w:rPr>
          <w:rFonts w:ascii="仿宋_GB2312" w:hAnsi="仿宋_GB2312" w:cs="仿宋_GB2312" w:eastAsia="仿宋_GB2312"/>
        </w:rPr>
        <w:t>7、信誉要求：投标人未被列入“信用中国”网站记录的“失信被执行人”“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8、投标保证金缴纳证明：须提供投标保证金转款凭证或担保机构出具的保函</w:t>
      </w:r>
    </w:p>
    <w:p>
      <w:pPr>
        <w:pStyle w:val="null3"/>
      </w:pPr>
      <w:r>
        <w:rPr>
          <w:rFonts w:ascii="仿宋_GB2312" w:hAnsi="仿宋_GB2312" w:cs="仿宋_GB2312" w:eastAsia="仿宋_GB2312"/>
        </w:rPr>
        <w:t>9、授权书：法定代表人授权书及被授权人身份证明。（法定代表人直接参与投标只须提供其身份证明）。</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商洛市生态环境局山阳县分局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商洛市山阳县城关街办环城路东段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商洛市生态环境局山阳县分局经办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8323920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商洛市商州区商郡城4号楼1单元602室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杨弘熙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0914-2317369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开户名称：陕西中辉项目管理有限公司</w:t>
            </w:r>
          </w:p>
          <w:p>
            <w:pPr>
              <w:pStyle w:val="null3"/>
            </w:pPr>
            <w:r>
              <w:rPr>
                <w:rFonts w:ascii="仿宋_GB2312" w:hAnsi="仿宋_GB2312" w:cs="仿宋_GB2312" w:eastAsia="仿宋_GB2312"/>
              </w:rPr>
              <w:t>开户银行：西安银行股份有限公司商洛分行</w:t>
            </w:r>
          </w:p>
          <w:p>
            <w:pPr>
              <w:pStyle w:val="null3"/>
            </w:pPr>
            <w:r>
              <w:rPr>
                <w:rFonts w:ascii="仿宋_GB2312" w:hAnsi="仿宋_GB2312" w:cs="仿宋_GB2312" w:eastAsia="仿宋_GB2312"/>
              </w:rPr>
              <w:t>银行账号：751011580000007515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计价格〔2002〕1980号）、《国家发展和改革委员会办公厅关于招标代理服务收费有关问题的通知》（发改办价格〔2003〕857号）的规定标准执行，按差额定率累进法收取费用。2.支付方式：支付方式：中标单位应在领取通知书前，向陕西中辉项目管理有限公司交纳本项目代理服务费。 缴纳方式：银行转账 3、代理服务费缴纳账号如下： 单位名称：陕西中辉项目管理有限公司 账号：72170078801400000873 开户银行：上海浦东发展股份有限公司西安北大街支行 银行支付行号：310791000168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商洛市生态环境局山阳县分局</w:t>
      </w:r>
      <w:r>
        <w:rPr>
          <w:rFonts w:ascii="仿宋_GB2312" w:hAnsi="仿宋_GB2312" w:cs="仿宋_GB2312" w:eastAsia="仿宋_GB2312"/>
        </w:rPr>
        <w:t>和</w:t>
      </w:r>
      <w:r>
        <w:rPr>
          <w:rFonts w:ascii="仿宋_GB2312" w:hAnsi="仿宋_GB2312" w:cs="仿宋_GB2312" w:eastAsia="仿宋_GB2312"/>
        </w:rPr>
        <w:t>陕西中辉项目管理有限公司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商洛市生态环境局山阳县分局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商洛市生态环境局山阳县分局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严格按照合同约定完成所有服务内容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联系人：杨弘熙</w:t>
      </w:r>
    </w:p>
    <w:p>
      <w:pPr>
        <w:pStyle w:val="null3"/>
      </w:pPr>
      <w:r>
        <w:rPr>
          <w:rFonts w:ascii="仿宋_GB2312" w:hAnsi="仿宋_GB2312" w:cs="仿宋_GB2312" w:eastAsia="仿宋_GB2312"/>
        </w:rPr>
        <w:t>联系电话：0914-2317369</w:t>
      </w:r>
    </w:p>
    <w:p>
      <w:pPr>
        <w:pStyle w:val="null3"/>
      </w:pPr>
      <w:r>
        <w:rPr>
          <w:rFonts w:ascii="仿宋_GB2312" w:hAnsi="仿宋_GB2312" w:cs="仿宋_GB2312" w:eastAsia="仿宋_GB2312"/>
        </w:rPr>
        <w:t>地址：商洛市商州区商郡城4号楼1单元602室</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对山阳县已建成的22个村级污水处理站及相关配套设施进行运行维护管理，运营期1年。确保出水水质达到《农村生活污水处理设施水污染物排放标准》(DB61/1227-2018)一级标准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1,889,000.00</w:t>
      </w:r>
    </w:p>
    <w:p>
      <w:pPr>
        <w:pStyle w:val="null3"/>
      </w:pPr>
      <w:r>
        <w:rPr>
          <w:rFonts w:ascii="仿宋_GB2312" w:hAnsi="仿宋_GB2312" w:cs="仿宋_GB2312" w:eastAsia="仿宋_GB2312"/>
        </w:rPr>
        <w:t>采购包最高限价（元）: 1,889,000.00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对已建成的22个村级污水处理站委托第三方进行运维，运营期1年。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标的名称：对已建成的22个村级污水处理站委托第三方进行运维，运营期1年。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中标方应保证运营的22个村级污水处理站出水水质稳定达到《农村生活污水处理设施水污染物排放标准》(DB61/1227-2018)一级标准，及配套设施检修，如管网、电气设备等，接受各级检查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中标方应对管护及巡查人员进行安全培训，确保不发生安全事故</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中标方应按时发放受雇人员工资，并处理污水运营对周边的影响，避免发生信访矛盾</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中标方若因不可抗力因素对污水处理站及配套设施造成影响时，应及时向商洛市生态环境局山阳县分局汇报受损情况</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2025年11月20日—2026年11月19日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陕西省商洛市山阳县村级污水处理站</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对已建成的22个村级污水处理站及相关配套设施进行运行维护管理，运营期1年。确保出水水质达到《农村生活污水处理设施水污染物排放标准》(DB61/1227-2018)一级标准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由商洛市生态环境局山阳县分局考核，查看污水处理站运行情况，完成四个季度的考核后，根据考核情况计算实际支付的金额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必须遵守本合同并执行合同中的各项规定，保证服务正常履行，如因乙方工作人员在履行过程中造成的疏忽、失职、过错等原因给甲方造成的损失及侵害，由乙方承担全部赔偿责任，中标方应积极完成污水处理站运行，遇到问题及时与商洛市生态环境局山阳县分局协商，协商无法解决的，可向山阳县人民法院提出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1.供应商缴纳保证金时请备注：项目编号。 2.为保证项目存档使用,供应商须递交纸质版响应文件，纸质版响应文件递交要求：正本壹份、副本贰份、电子版文件贰份（U盘）。 3.密封包装方式：投标文件正本一个封袋、副本一个封袋、电子版文件放置正本封袋内，电子版文件须粘贴注明投标人名称的标签。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投标人 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投标人提供2024年的财务审计报告（成立时间至投标截止时间不足一年的可提供成立后任意时段的资产负债表），或其开标前三个月内基本开户银行出具的资信证明及基本存款账户信息。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投标人提供投标截止日前半年内已缴纳任意1个月的纳税证明或完税证明（任意税种），依法免税的单位应提供相关的证明材料。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投标人提供投标截止日前半年内已缴存的任意1个月的社会保障资金缴存单据或社保机构开具的社会保险参保缴费情况证明；依法不需要缴纳社会保障资金的单位应提供相关证明材料。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投标人未被列入“信用中国”网站记录的“失信被执行人”“重大税收违法案件当事人”名单；不处于“中国政府采购网”记录的“政府采购严重违法失信行为记录名单”中的禁止参加政府采购活动期间。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投标保证金缴纳证明</w:t>
            </w:r>
          </w:p>
        </w:tc>
        <w:tc>
          <w:tcPr>
            <w:tcW w:type="dxa" w:w="3322"/>
          </w:tcPr>
          <w:p>
            <w:pPr>
              <w:pStyle w:val="null3"/>
            </w:pPr>
            <w:r>
              <w:rPr>
                <w:rFonts w:ascii="仿宋_GB2312" w:hAnsi="仿宋_GB2312" w:cs="仿宋_GB2312" w:eastAsia="仿宋_GB2312"/>
              </w:rPr>
              <w:t>须提供投标保证金转款凭证或担保机构出具的保函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法定代表人授权书及被授权人身份证明。（法定代表人直接参与投标只须提供其身份证明）。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与营业执照或事业单位登记证书等相关证明文件一致。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供应商投标有效期自提交投标文件截止之日起不少于90天。供应商需在项目电子化交易系统中按要求填写《投标函》完成承诺并进行电子签章。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合同签订之日起1年，供应商需在项目电子化交易系统中按要求填写《报价表》、《标的清单》并进行电子签章。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供应商需在项目电子化交易系统中按要求编制投标文件并进行电子签章。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设备维护方案</w:t>
            </w:r>
          </w:p>
        </w:tc>
        <w:tc>
          <w:tcPr>
            <w:tcW w:type="dxa" w:w="2492"/>
          </w:tcPr>
          <w:p>
            <w:pPr>
              <w:pStyle w:val="null3"/>
            </w:pPr>
            <w:r>
              <w:rPr>
                <w:rFonts w:ascii="仿宋_GB2312" w:hAnsi="仿宋_GB2312" w:cs="仿宋_GB2312" w:eastAsia="仿宋_GB2312"/>
              </w:rPr>
              <w:t>针对本项目的日常设备维护保养、设备故障预防措施、设备故障维修时限、设备维护保养、交接程序等，并能及时响应和积极配合采购人的有关要求等进行综合打分。 1.整体工作把握准确，有较强的系统性、经济性，方案详细、完整、可操作性强，计8-10分； 2.针对本项目的日常设备运行、管理、维护、维修、检测等内容，整体工作把握准确，方案的系统性、经济性较强，方案较详细、较完整、可操作性较强，计4-7分； 3.针对本项目的日常设备运行、管理、维护、维修、检测等内容，整体工作把握准确，方案的系统性、经济性一般，方案欠详细、欠完整、可操作性一般，计1-3分；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本项目的安全保证措施，根据污水处理站的运行实际情况，充分考虑托管运行风险，制定合理可行的质量保障措施；安全上岗培训、定期安全教育和培训、污水站设备定期维护；维修人员应具备特种专业操作技能、接触有毒有害物质维修时配备的特殊防护服及专用工具（含劳保用品）等，未提供不得分： 1.措施得当、科学合理、完整、可行性强、完全满足服务需求，得7-10分； 2.措施较为得当、合理、完整、可行、基本满足服务需求，得4-6分； 3.措施简单，满足项目部分要求，得1-3分。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根据供应商本项目提供的拟派技术负责人具有高级技术职称的得3分，中级职称得2分。未提供不计分。2、人员配备满足项目需求，人员分工及职责划分合理明确，所配备人员及岗位职责情况及其证明材料(数量、资质、经验、从业年限等) 进行综合比较和分析。人员配备最优得得3-4分；配备一般的得1-2分；未提供不计分。 3、供应商驻站人员具有与本项目相关资格证书的，每提供一人得0.5分。最高得3分。未提供不计分。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针对本项目所配备的维保工具、仪器仪表、检测设备等综合打分。 1.所配备的维保工具、仪器仪表、检测设备完整、先进、可操作性强计5分； 2.所配备的维保工具、仪器仪表、检测设备较完整、先进、可操作性较强计3-4分； 3.所配备的维保工具、仪器仪表、检测设备不完整、不先进、可操作性不强计1-2分；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针对本项目运营期内出现的各类紧急情况提供的应急预案进行综合评审。 1.预案详细、完整、可操作性强的计5分； 2.预案较详细、较完整、可操作性较强的，计3-4分； 3.预案欠详细、欠完整、可操作性一般的，计1-2分；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针对本项目综合比较各供应商提供的质量管理和质量保证方案： 1.方案清晰完整，管理方法科学合理，质量保障措施健全的得 4-5 分； 2.方案基本完整，管理方法一般，质量保障措施基本健全的得 1-3 分； 3.方案简略不完整，或未提供不得分。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环境保护与措施</w:t>
            </w:r>
          </w:p>
        </w:tc>
        <w:tc>
          <w:tcPr>
            <w:tcW w:type="dxa" w:w="2492"/>
          </w:tcPr>
          <w:p>
            <w:pPr>
              <w:pStyle w:val="null3"/>
            </w:pPr>
            <w:r>
              <w:rPr>
                <w:rFonts w:ascii="仿宋_GB2312" w:hAnsi="仿宋_GB2312" w:cs="仿宋_GB2312" w:eastAsia="仿宋_GB2312"/>
              </w:rPr>
              <w:t>针对本项目综合比较各供应商提供的环境保护与措施：1.方案清晰完整，管理方法科学合理，环境保护与措施健全的得4-5 分；2.方案基本完整，管理方法一般，环境保护与措施基本健全的得 1-3分； 3.方案简略不完整，或未提供不得分。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针对本项目的制定的管理制度（包括但不限于水量及水质考核管理、日常运行管理及操作流程、岗位职责、人员安全管理、设备维护保养制度等）进行综合比较。 1.制度完整、详细、操作性强计5-7分； 2.制度较完整，较详细、操作性一般计3-4分； 3.制度不完整、缺乏可操作性计1-2分； 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针对本项目提供的污水治理服务承诺进行综合评审,包括但不限于符合排污许可证副本要求的监测及运维，不符合要求及排放不达标承担环保风险等承诺，计1-3分，未提供不计分。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总体运营方案</w:t>
            </w:r>
          </w:p>
        </w:tc>
        <w:tc>
          <w:tcPr>
            <w:tcW w:type="dxa" w:w="2492"/>
          </w:tcPr>
          <w:p>
            <w:pPr>
              <w:pStyle w:val="null3"/>
            </w:pPr>
            <w:r>
              <w:rPr>
                <w:rFonts w:ascii="仿宋_GB2312" w:hAnsi="仿宋_GB2312" w:cs="仿宋_GB2312" w:eastAsia="仿宋_GB2312"/>
              </w:rPr>
              <w:t>针对本项目的总体方案，方案满足要求及采购人实际需求。方案包括但不限于：委托运营计划及内容、日常管理、操作规程、台账建设、风险防范、安全管理、药剂存储及使用、药剂配比制度、监测及检测等进行综合打分。 1.针对本项目的总体运营方案方案非常详细、完整、可操作性强，计15-20分； 2.针对本项目的总体运营方案较详细、较完整、可操作性较强，计7-14分； 3.针对本项目的总体运营方案的响应性一般，且提供污水处理方案欠详细、欠完整、可操作性一般，计1-6分； 4.未提供的不计分。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提供2020年1月1日以来供应商类似项目的业绩合同(以合同签订日期为准),附业绩合同复印件加盖公章，每份2分，满分10分。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