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版本号：DZYH-202504420251125002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商洛市三秦智医助理暨基层能力提升部署实施项目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DZYH-2025044</w:t>
      </w:r>
      <w:r>
        <w:br/>
      </w:r>
      <w:r>
        <w:br/>
      </w:r>
      <w:r>
        <w:br/>
      </w:r>
    </w:p>
    <w:p>
      <w:pPr>
        <w:pStyle w:val="null3"/>
        <w:jc w:val="center"/>
        <w:outlineLvl w:val="2"/>
      </w:pPr>
      <w:r>
        <w:rPr>
          <w:rFonts w:ascii="仿宋_GB2312" w:hAnsi="仿宋_GB2312" w:cs="仿宋_GB2312" w:eastAsia="仿宋_GB2312"/>
          <w:sz w:val="28"/>
          <w:b/>
        </w:rPr>
        <w:t>商洛市卫生健康委员会</w:t>
      </w:r>
    </w:p>
    <w:p>
      <w:pPr>
        <w:pStyle w:val="null3"/>
        <w:jc w:val="center"/>
        <w:outlineLvl w:val="2"/>
      </w:pPr>
      <w:r>
        <w:rPr>
          <w:rFonts w:ascii="仿宋_GB2312" w:hAnsi="仿宋_GB2312" w:cs="仿宋_GB2312" w:eastAsia="仿宋_GB2312"/>
          <w:sz w:val="28"/>
          <w:b/>
        </w:rPr>
        <w:t>陕西德正跃恒项目管理有限公司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陕西德正跃恒项目管理有限公司</w:t>
      </w:r>
      <w:r>
        <w:rPr>
          <w:rFonts w:ascii="仿宋_GB2312" w:hAnsi="仿宋_GB2312" w:cs="仿宋_GB2312" w:eastAsia="仿宋_GB2312"/>
        </w:rPr>
        <w:t>（以下简称“代理机构”）受</w:t>
      </w:r>
      <w:r>
        <w:rPr>
          <w:rFonts w:ascii="仿宋_GB2312" w:hAnsi="仿宋_GB2312" w:cs="仿宋_GB2312" w:eastAsia="仿宋_GB2312"/>
        </w:rPr>
        <w:t>商洛市卫生健康委员会</w:t>
      </w:r>
      <w:r>
        <w:rPr>
          <w:rFonts w:ascii="仿宋_GB2312" w:hAnsi="仿宋_GB2312" w:cs="仿宋_GB2312" w:eastAsia="仿宋_GB2312"/>
        </w:rPr>
        <w:t>委托，拟对</w:t>
      </w:r>
      <w:r>
        <w:rPr>
          <w:rFonts w:ascii="仿宋_GB2312" w:hAnsi="仿宋_GB2312" w:cs="仿宋_GB2312" w:eastAsia="仿宋_GB2312"/>
        </w:rPr>
        <w:t>商洛市三秦智医助理暨基层能力提升部署实施项目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DZYH-2025044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商洛市三秦智医助理暨基层能力提升部署实施项目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市“三秦智医助理”系统暨基层能力提升项目实施(简称“本项目”)的建设任务为陕西省“三秦智医”项目在商洛全市的实施交付工作，为全市200万人口提供卫生健康服务。覆盖全市7个县区，122个乡镇卫生院/社区卫生服务中心，2142个村卫生室/社区卫生服务站。（因基层医疗机构数量动态变化，卫生院、卫生室数量以项目实施时的各县（区）实际数量为准）。建设内容包括21个县区二级医疗卫生机构（含综合医院、中医医院、妇幼保健院）完成数据接入。基于市政务云和电子政务外网等资源，依据《商洛市“三秦智医助理”系统暨基层能力提升（智慧健康一期）项目实施方案》，以分期、分批的原则，在省、市级政务云健康专区完成基层卫生一体化应用子系统、基层人工智能辅助智慧医疗子系统和基层卫生综合监管子系统的业务调研、数据收集、部署实施、联机调试、用户培训、运行保障以及需求跟踪与反馈等，同时按需完成县级医疗卫生机构、省市相关业务信息系统与基层能力提升项目系统的对接，实现数据汇聚与共享。</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符合招标文件要求,合法有效：具有独立承担民事责任能力的法人或其他组织，提供合法有效的统一社会信用代码的营业执照（附年度报告书）或事业单位法人证书等国家规定的相关证明，自然人参与的提供其身份证明</w:t>
      </w:r>
    </w:p>
    <w:p>
      <w:pPr>
        <w:pStyle w:val="null3"/>
      </w:pPr>
      <w:r>
        <w:rPr>
          <w:rFonts w:ascii="仿宋_GB2312" w:hAnsi="仿宋_GB2312" w:cs="仿宋_GB2312" w:eastAsia="仿宋_GB2312"/>
        </w:rPr>
        <w:t>2、法定代表人授权书符合招标文件要求,合法有效：法定代表人授权书（附法定代表人身份证复印件）及被授权人身份证（法定代表人直接参加只须提供法定代表人身份证）</w:t>
      </w:r>
    </w:p>
    <w:p>
      <w:pPr>
        <w:pStyle w:val="null3"/>
      </w:pPr>
      <w:r>
        <w:rPr>
          <w:rFonts w:ascii="仿宋_GB2312" w:hAnsi="仿宋_GB2312" w:cs="仿宋_GB2312" w:eastAsia="仿宋_GB2312"/>
        </w:rPr>
        <w:t>3、税收缴纳证明符合招标文件要求,合法有效：税收缴纳证明：提供开标前三个月的缴税凭证或依法免税的投标单位应提供相关文件证明</w:t>
      </w:r>
    </w:p>
    <w:p>
      <w:pPr>
        <w:pStyle w:val="null3"/>
      </w:pPr>
      <w:r>
        <w:rPr>
          <w:rFonts w:ascii="仿宋_GB2312" w:hAnsi="仿宋_GB2312" w:cs="仿宋_GB2312" w:eastAsia="仿宋_GB2312"/>
        </w:rPr>
        <w:t>4、社会保障资金缴纳证明符合招标文件要求,合法有效：社会保障资金缴纳证明：提供已缴纳提供开标前三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5、财务状况报告符合招标文件要求,合法有效：财务状况报告：投标单位提供 2023 年度或 2024 年度的财务审计报告(成立时间至提交投标文件截止时间不足一年的可提供成立后任意时段的资产负债表)，或其基本存款账户开户银行出具的资信证明及基本存款账户开户信息</w:t>
      </w:r>
    </w:p>
    <w:p>
      <w:pPr>
        <w:pStyle w:val="null3"/>
      </w:pPr>
      <w:r>
        <w:rPr>
          <w:rFonts w:ascii="仿宋_GB2312" w:hAnsi="仿宋_GB2312" w:cs="仿宋_GB2312" w:eastAsia="仿宋_GB2312"/>
        </w:rPr>
        <w:t>6、信誉截图符合招标文件要求,合法有效：投标单位不得为“信用中国”网站中列入严重失信主体和重大税收违法失信主体，不得为中国政府采购网政府采购严重违法失信行为记录名单中被财政部门禁止参加政府采购活动的供应商（提供查询结果网页截图并加盖投标单位公章）</w:t>
      </w:r>
    </w:p>
    <w:p>
      <w:pPr>
        <w:pStyle w:val="null3"/>
      </w:pPr>
      <w:r>
        <w:rPr>
          <w:rFonts w:ascii="仿宋_GB2312" w:hAnsi="仿宋_GB2312" w:cs="仿宋_GB2312" w:eastAsia="仿宋_GB2312"/>
        </w:rPr>
        <w:t>7、声明函符合招标文件要求：投标单位须提供参加政府采购活动近三年内，在经营活动中没有重大违法记录声明函</w:t>
      </w:r>
    </w:p>
    <w:p>
      <w:pPr>
        <w:pStyle w:val="null3"/>
      </w:pPr>
      <w:r>
        <w:rPr>
          <w:rFonts w:ascii="仿宋_GB2312" w:hAnsi="仿宋_GB2312" w:cs="仿宋_GB2312" w:eastAsia="仿宋_GB2312"/>
        </w:rPr>
        <w:t>8、投标保证金凭证符合招标文件要求：投标保证金凭证</w:t>
      </w:r>
    </w:p>
    <w:p>
      <w:pPr>
        <w:pStyle w:val="null3"/>
      </w:pPr>
      <w:r>
        <w:rPr>
          <w:rFonts w:ascii="仿宋_GB2312" w:hAnsi="仿宋_GB2312" w:cs="仿宋_GB2312" w:eastAsia="仿宋_GB2312"/>
        </w:rPr>
        <w:t>9、承诺书符合招标文件要求：本项目不接受联合体投标。（提供承诺书）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商洛市卫生健康委员会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商洛市行政中心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商洛市卫生健康委员会经办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15291568949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陕西德正跃恒项目管理有限公司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陕西省商洛市商州区民和路同城置业大厦16楼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南常佑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17691280844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采购包1：2,091,000.00元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开户名称：陕西德正跃恒项目管理有限公司</w:t>
            </w:r>
          </w:p>
          <w:p>
            <w:pPr>
              <w:pStyle w:val="null3"/>
            </w:pPr>
            <w:r>
              <w:rPr>
                <w:rFonts w:ascii="仿宋_GB2312" w:hAnsi="仿宋_GB2312" w:cs="仿宋_GB2312" w:eastAsia="仿宋_GB2312"/>
              </w:rPr>
              <w:t>开户银行：中国邮政储蓄银行股份有限公司商洛市分行</w:t>
            </w:r>
          </w:p>
          <w:p>
            <w:pPr>
              <w:pStyle w:val="null3"/>
            </w:pPr>
            <w:r>
              <w:rPr>
                <w:rFonts w:ascii="仿宋_GB2312" w:hAnsi="仿宋_GB2312" w:cs="仿宋_GB2312" w:eastAsia="仿宋_GB2312"/>
              </w:rPr>
              <w:t>银行账号：961000010027438908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代理服务费收费标准：招标代理服务费依据国家计委计价格[2002]1980 号《招标代理服务收 费管理暂行办法》和国家发展改革委员会办公厅颁发的《关于招标代理服 务收费有关问题的通知》（发改办价格[2003]857 号）及《国家发展改革委关于降低部分建设项目收费标准规范收费行为等有关问题的通知》（发改价格[2011]534号）规定标准收取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商洛市卫生健康委员会</w:t>
      </w:r>
      <w:r>
        <w:rPr>
          <w:rFonts w:ascii="仿宋_GB2312" w:hAnsi="仿宋_GB2312" w:cs="仿宋_GB2312" w:eastAsia="仿宋_GB2312"/>
        </w:rPr>
        <w:t>和</w:t>
      </w:r>
      <w:r>
        <w:rPr>
          <w:rFonts w:ascii="仿宋_GB2312" w:hAnsi="仿宋_GB2312" w:cs="仿宋_GB2312" w:eastAsia="仿宋_GB2312"/>
        </w:rPr>
        <w:t>陕西德正跃恒项目管理有限公司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商洛市卫生健康委员会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陕西德正跃恒项目管理有限公司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商洛市卫生健康委员会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陕西德正跃恒项目管理有限公司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陕西德正跃恒项目管理有限公司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陕西德正跃恒项目管理有限公司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陕西德正跃恒项目管理有限公司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联系人：南常佑</w:t>
      </w:r>
    </w:p>
    <w:p>
      <w:pPr>
        <w:pStyle w:val="null3"/>
      </w:pPr>
      <w:r>
        <w:rPr>
          <w:rFonts w:ascii="仿宋_GB2312" w:hAnsi="仿宋_GB2312" w:cs="仿宋_GB2312" w:eastAsia="仿宋_GB2312"/>
        </w:rPr>
        <w:t>联系电话：17691280844</w:t>
      </w:r>
    </w:p>
    <w:p>
      <w:pPr>
        <w:pStyle w:val="null3"/>
      </w:pPr>
      <w:r>
        <w:rPr>
          <w:rFonts w:ascii="仿宋_GB2312" w:hAnsi="仿宋_GB2312" w:cs="仿宋_GB2312" w:eastAsia="仿宋_GB2312"/>
        </w:rPr>
        <w:t>地址：陕西省商洛市商州区民和路同城置业大厦16楼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三秦智医助理”系统暨基层能力提升项目实施(简称“本项目”)的建设任务为陕西省“三秦智医”项目在商洛全市的实施交付工作，为全市200万人口提供卫生健康服务。覆盖全市7个县区，122个乡镇卫生院/社区卫生服务中心，2142个村卫生室/社区卫生服务站。（因基层医疗机构数量动态变化，卫生院、卫生室数量以项目实施时的各县（区）实际数量为准）。建设内容包括21个县区二级医疗卫生机构（含综合医院、中医医院、妇幼保健院）完成数据接入。基于市政务云和电子政务外网等资源，依据《商洛市“三秦智医助理”系统暨基层能力提升（智慧健康一期）项目实施方案》，以分期、分批的原则，在省、市级政务云健康专区完成基层卫生一体化应用子系统、基层人工智能辅助智慧医疗子系统和基层卫生综合监管子系统的业务调研、数据收集、部署实施、联机调试、用户培训、运行保障以及需求跟踪与反馈等，同时按需完成县级医疗卫生机构、省市相关业务信息系统与基层能力提升项目系统的对接，实现数据汇聚与共享。</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2,091,000.00</w:t>
      </w:r>
    </w:p>
    <w:p>
      <w:pPr>
        <w:pStyle w:val="null3"/>
      </w:pPr>
      <w:r>
        <w:rPr>
          <w:rFonts w:ascii="仿宋_GB2312" w:hAnsi="仿宋_GB2312" w:cs="仿宋_GB2312" w:eastAsia="仿宋_GB2312"/>
        </w:rPr>
        <w:t>采购包最高限价（元）: 2,091,000.00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商洛市三秦智医助理暨基层能力提升部署实施项目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标的名称：商洛市三秦智医助理暨基层能力提升部署实施项目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color w:val="000000"/>
              </w:rPr>
              <w:t>省市县系统实施及优化</w:t>
            </w:r>
          </w:p>
          <w:p>
            <w:pPr>
              <w:pStyle w:val="null3"/>
              <w:ind w:firstLine="482"/>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1）市级端部署应用系统技术支持服务</w:t>
            </w:r>
          </w:p>
          <w:p>
            <w:pPr>
              <w:pStyle w:val="null3"/>
              <w:ind w:firstLine="480"/>
              <w:jc w:val="left"/>
            </w:pPr>
            <w:r>
              <w:rPr>
                <w:rFonts w:ascii="仿宋_GB2312" w:hAnsi="仿宋_GB2312" w:cs="仿宋_GB2312" w:eastAsia="仿宋_GB2312"/>
                <w:sz w:val="18"/>
                <w:color w:val="000000"/>
              </w:rPr>
              <w:t>本项目中标方负责市级政务云健康专区一次性完成基层卫生一体化应用子系统、基层人工智能辅助智慧医疗子系统和基层卫生综合监管子系统的部署，并负责其日常运行维护、性能优化与安全保障工作。具体包括但不限于：全面掌握省级项目单位完成的部署架构和配置；主动监控软件运行状态，识别性能瓶颈，主导实施系统架构优化、数据库性能调优；进行系统日志分析，识别潜在风险，制定并执行应对措施；提供对国产化操作系统、数据库、中间件的基础运维与故障处理支持；负责市级系统层面的日常备份与恢复演练；协调并配合省级单位进行必要的补丁更新或重大架构变更。配合市政务云健康专区做好系统运行过程中的安全保障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2）需求跟踪及反馈</w:t>
            </w:r>
          </w:p>
          <w:p>
            <w:pPr>
              <w:pStyle w:val="null3"/>
              <w:ind w:firstLine="480"/>
              <w:jc w:val="left"/>
            </w:pPr>
            <w:r>
              <w:rPr>
                <w:rFonts w:ascii="仿宋_GB2312" w:hAnsi="仿宋_GB2312" w:cs="仿宋_GB2312" w:eastAsia="仿宋_GB2312"/>
                <w:sz w:val="18"/>
                <w:color w:val="000000"/>
              </w:rPr>
              <w:t>本项目中标人需要配合项目应用方搜集各区县一线用户需求</w:t>
            </w:r>
            <w:r>
              <w:rPr>
                <w:rFonts w:ascii="仿宋_GB2312" w:hAnsi="仿宋_GB2312" w:cs="仿宋_GB2312" w:eastAsia="仿宋_GB2312"/>
                <w:sz w:val="18"/>
                <w:color w:val="000000"/>
              </w:rPr>
              <w:t xml:space="preserve">:经统一整理、分析、 </w:t>
            </w:r>
            <w:r>
              <w:rPr>
                <w:rFonts w:ascii="仿宋_GB2312" w:hAnsi="仿宋_GB2312" w:cs="仿宋_GB2312" w:eastAsia="仿宋_GB2312"/>
                <w:sz w:val="18"/>
                <w:color w:val="000000"/>
              </w:rPr>
              <w:t>研判后，分别提交省级</w:t>
            </w:r>
            <w:r>
              <w:rPr>
                <w:rFonts w:ascii="仿宋_GB2312" w:hAnsi="仿宋_GB2312" w:cs="仿宋_GB2312" w:eastAsia="仿宋_GB2312"/>
                <w:sz w:val="18"/>
                <w:color w:val="000000"/>
              </w:rPr>
              <w:t>“三秦智医助理”包 1、包 2 中标人响应，并对包 1、包 2 中标人完成响应的需求向用户培训交接，对省级“三秦智医助理”包 1、包 2 中标人拒绝处理的需求向用户说明原因。</w:t>
            </w:r>
          </w:p>
          <w:p>
            <w:pPr>
              <w:pStyle w:val="null3"/>
              <w:ind w:firstLine="480"/>
              <w:jc w:val="left"/>
            </w:pPr>
            <w:r>
              <w:rPr>
                <w:rFonts w:ascii="仿宋_GB2312" w:hAnsi="仿宋_GB2312" w:cs="仿宋_GB2312" w:eastAsia="仿宋_GB2312"/>
                <w:sz w:val="18"/>
                <w:color w:val="000000"/>
              </w:rPr>
              <w:t>此项任务不限于如下工作</w:t>
            </w:r>
            <w:r>
              <w:rPr>
                <w:rFonts w:ascii="仿宋_GB2312" w:hAnsi="仿宋_GB2312" w:cs="仿宋_GB2312" w:eastAsia="仿宋_GB2312"/>
                <w:sz w:val="18"/>
                <w:color w:val="000000"/>
              </w:rPr>
              <w:t>:</w:t>
            </w:r>
          </w:p>
          <w:p>
            <w:pPr>
              <w:pStyle w:val="null3"/>
              <w:ind w:firstLine="480"/>
              <w:jc w:val="left"/>
            </w:pPr>
            <w:r>
              <w:rPr>
                <w:rFonts w:ascii="仿宋_GB2312" w:hAnsi="仿宋_GB2312" w:cs="仿宋_GB2312" w:eastAsia="仿宋_GB2312"/>
                <w:sz w:val="18"/>
                <w:color w:val="000000"/>
              </w:rPr>
              <w:t>在线需求采集</w:t>
            </w:r>
            <w:r>
              <w:rPr>
                <w:rFonts w:ascii="仿宋_GB2312" w:hAnsi="仿宋_GB2312" w:cs="仿宋_GB2312" w:eastAsia="仿宋_GB2312"/>
                <w:sz w:val="18"/>
                <w:color w:val="000000"/>
              </w:rPr>
              <w:t>:建立多渠道需求采集机制，包括但不限于 web 表单及在线通信群，</w:t>
            </w:r>
            <w:r>
              <w:rPr>
                <w:rFonts w:ascii="仿宋_GB2312" w:hAnsi="仿宋_GB2312" w:cs="仿宋_GB2312" w:eastAsia="仿宋_GB2312"/>
                <w:sz w:val="18"/>
                <w:color w:val="000000"/>
              </w:rPr>
              <w:t>以结构化模板、手机视频、系统截图或非结构化文本等内容，采集用户提交的功能优化和流程改进需求。</w:t>
            </w:r>
          </w:p>
          <w:p>
            <w:pPr>
              <w:pStyle w:val="null3"/>
              <w:ind w:firstLine="480"/>
              <w:jc w:val="left"/>
            </w:pPr>
            <w:r>
              <w:rPr>
                <w:rFonts w:ascii="仿宋_GB2312" w:hAnsi="仿宋_GB2312" w:cs="仿宋_GB2312" w:eastAsia="仿宋_GB2312"/>
                <w:sz w:val="18"/>
                <w:color w:val="000000"/>
              </w:rPr>
              <w:t>需求管理跟踪</w:t>
            </w:r>
            <w:r>
              <w:rPr>
                <w:rFonts w:ascii="仿宋_GB2312" w:hAnsi="仿宋_GB2312" w:cs="仿宋_GB2312" w:eastAsia="仿宋_GB2312"/>
                <w:sz w:val="18"/>
                <w:color w:val="000000"/>
              </w:rPr>
              <w:t>:与省级“三秦智医助理”包 1、包 2 中标人协同，建立需求在线管理平台，对所有采集的需求进行录入、跟踪、管理。</w:t>
            </w:r>
          </w:p>
          <w:p>
            <w:pPr>
              <w:pStyle w:val="null3"/>
              <w:ind w:firstLine="480"/>
              <w:jc w:val="left"/>
            </w:pPr>
            <w:r>
              <w:rPr>
                <w:rFonts w:ascii="仿宋_GB2312" w:hAnsi="仿宋_GB2312" w:cs="仿宋_GB2312" w:eastAsia="仿宋_GB2312"/>
                <w:sz w:val="18"/>
                <w:color w:val="000000"/>
              </w:rPr>
              <w:t>反馈优化结果</w:t>
            </w:r>
            <w:r>
              <w:rPr>
                <w:rFonts w:ascii="仿宋_GB2312" w:hAnsi="仿宋_GB2312" w:cs="仿宋_GB2312" w:eastAsia="仿宋_GB2312"/>
                <w:sz w:val="18"/>
                <w:color w:val="000000"/>
              </w:rPr>
              <w:t>:对已实施的需求，通过短信、邮件等方式通知用户，反馈内容不限于优化内容、实施效果及用户收益。对不采纳的需求，反馈原因并关闭需求工单。</w:t>
            </w:r>
          </w:p>
          <w:p>
            <w:pPr>
              <w:pStyle w:val="null3"/>
              <w:ind w:firstLine="482"/>
              <w:jc w:val="left"/>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left"/>
            </w:pPr>
            <w:r>
              <w:rPr>
                <w:rFonts w:ascii="仿宋_GB2312" w:hAnsi="仿宋_GB2312" w:cs="仿宋_GB2312" w:eastAsia="仿宋_GB2312"/>
                <w:sz w:val="18"/>
                <w:b/>
                <w:color w:val="000000"/>
              </w:rPr>
              <w:t>（3</w:t>
            </w:r>
            <w:r>
              <w:rPr>
                <w:rFonts w:ascii="仿宋_GB2312" w:hAnsi="仿宋_GB2312" w:cs="仿宋_GB2312" w:eastAsia="仿宋_GB2312"/>
                <w:sz w:val="18"/>
                <w:b/>
                <w:color w:val="000000"/>
              </w:rPr>
              <w:t>）系统对接实施。</w:t>
            </w:r>
          </w:p>
          <w:p>
            <w:pPr>
              <w:pStyle w:val="null3"/>
              <w:ind w:firstLine="482"/>
              <w:jc w:val="left"/>
            </w:pPr>
            <w:r>
              <w:rPr>
                <w:rFonts w:ascii="仿宋_GB2312" w:hAnsi="仿宋_GB2312" w:cs="仿宋_GB2312" w:eastAsia="仿宋_GB2312"/>
                <w:sz w:val="18"/>
                <w:b/>
                <w:color w:val="000000"/>
              </w:rPr>
              <w:t>与省市相关系统对接：</w:t>
            </w:r>
            <w:r>
              <w:rPr>
                <w:rFonts w:ascii="仿宋_GB2312" w:hAnsi="仿宋_GB2312" w:cs="仿宋_GB2312" w:eastAsia="仿宋_GB2312"/>
                <w:sz w:val="18"/>
                <w:color w:val="000000"/>
              </w:rPr>
              <w:t>本项目中标人需要配合项目应用方在系统实施上线后实现与陕西省全省人员系统、陕西省级全民健康信息</w:t>
            </w:r>
            <w:r>
              <w:rPr>
                <w:rFonts w:ascii="仿宋_GB2312" w:hAnsi="仿宋_GB2312" w:cs="仿宋_GB2312" w:eastAsia="仿宋_GB2312"/>
                <w:sz w:val="18"/>
                <w:color w:val="000000"/>
              </w:rPr>
              <w:t>平台、商洛市全民健康信息平台、商洛市域内运行的市级远程医疗平台、互联网服务平台、电子健康卡平台、妇幼保健信息平台、市数据中心、健康商洛门户、生育服务系统或应用等相关信息系统的数据交换共享工作。</w:t>
            </w:r>
          </w:p>
          <w:p>
            <w:pPr>
              <w:pStyle w:val="null3"/>
              <w:ind w:firstLine="482"/>
              <w:jc w:val="left"/>
            </w:pPr>
            <w:r>
              <w:rPr>
                <w:rFonts w:ascii="仿宋_GB2312" w:hAnsi="仿宋_GB2312" w:cs="仿宋_GB2312" w:eastAsia="仿宋_GB2312"/>
                <w:sz w:val="18"/>
                <w:b/>
                <w:color w:val="000000"/>
              </w:rPr>
              <w:t>与县级医疗机构接入：</w:t>
            </w:r>
            <w:r>
              <w:rPr>
                <w:rFonts w:ascii="仿宋_GB2312" w:hAnsi="仿宋_GB2312" w:cs="仿宋_GB2312" w:eastAsia="仿宋_GB2312"/>
                <w:sz w:val="18"/>
                <w:color w:val="000000"/>
              </w:rPr>
              <w:t>本项目中标人需要按照</w:t>
            </w:r>
            <w:r>
              <w:rPr>
                <w:rFonts w:ascii="仿宋_GB2312" w:hAnsi="仿宋_GB2312" w:cs="仿宋_GB2312" w:eastAsia="仿宋_GB2312"/>
                <w:sz w:val="18"/>
                <w:color w:val="000000"/>
              </w:rPr>
              <w:t>“三秦智医助理”项目建设方案要求，配合推进各实施县（区）所辖县级医疗机构接入市级部署的基层卫生综合监管系统，同时将采集到的数据回传给基层卫生一体化应用系统，供镇村医务人员根据授权进行访问查看，具体对接方式以省级下发数据为准。</w:t>
            </w:r>
          </w:p>
          <w:p>
            <w:pPr>
              <w:pStyle w:val="null3"/>
              <w:ind w:firstLine="482"/>
              <w:jc w:val="left"/>
            </w:pPr>
            <w:r>
              <w:rPr>
                <w:rFonts w:ascii="仿宋_GB2312" w:hAnsi="仿宋_GB2312" w:cs="仿宋_GB2312" w:eastAsia="仿宋_GB2312"/>
                <w:sz w:val="18"/>
                <w:b/>
                <w:color w:val="000000"/>
              </w:rPr>
              <w:t>与区域协同系统对接：</w:t>
            </w:r>
            <w:r>
              <w:rPr>
                <w:rFonts w:ascii="仿宋_GB2312" w:hAnsi="仿宋_GB2312" w:cs="仿宋_GB2312" w:eastAsia="仿宋_GB2312"/>
                <w:sz w:val="18"/>
                <w:color w:val="000000"/>
              </w:rPr>
              <w:t>本项目中标人按照省级</w:t>
            </w:r>
            <w:r>
              <w:rPr>
                <w:rFonts w:ascii="仿宋_GB2312" w:hAnsi="仿宋_GB2312" w:cs="仿宋_GB2312" w:eastAsia="仿宋_GB2312"/>
                <w:sz w:val="18"/>
                <w:color w:val="000000"/>
              </w:rPr>
              <w:t>“三秦智医助理”包1的“统一外联子系统”对接要求，配合完成与甲方商定的有关外联对接系统或平台的对接工作，如医共体系统、区域影像、心电、检验等。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18"/>
                <w:color w:val="000000"/>
              </w:rPr>
              <w:t xml:space="preserve">   （4）根据省市相关政策调整，配合做好后续系统迁移工作。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2"/>
              <w:jc w:val="left"/>
            </w:pPr>
            <w:r>
              <w:rPr>
                <w:rFonts w:ascii="仿宋_GB2312" w:hAnsi="仿宋_GB2312" w:cs="仿宋_GB2312" w:eastAsia="仿宋_GB2312"/>
                <w:sz w:val="21"/>
                <w:b/>
                <w:color w:val="000000"/>
              </w:rPr>
              <w:t>基层医疗卫生机构的实施</w:t>
            </w:r>
          </w:p>
          <w:p>
            <w:pPr>
              <w:pStyle w:val="null3"/>
              <w:ind w:firstLine="482"/>
              <w:jc w:val="left"/>
            </w:pPr>
            <w:r>
              <w:rPr>
                <w:rFonts w:ascii="仿宋_GB2312" w:hAnsi="仿宋_GB2312" w:cs="仿宋_GB2312" w:eastAsia="仿宋_GB2312"/>
                <w:sz w:val="18"/>
                <w:b/>
                <w:color w:val="000000"/>
              </w:rPr>
              <w:t>(1)用户应用侧部署与调优</w:t>
            </w:r>
          </w:p>
          <w:p>
            <w:pPr>
              <w:pStyle w:val="null3"/>
              <w:ind w:firstLine="480"/>
              <w:jc w:val="left"/>
            </w:pPr>
            <w:r>
              <w:rPr>
                <w:rFonts w:ascii="仿宋_GB2312" w:hAnsi="仿宋_GB2312" w:cs="仿宋_GB2312" w:eastAsia="仿宋_GB2312"/>
                <w:sz w:val="18"/>
                <w:color w:val="000000"/>
              </w:rPr>
              <w:t>本项目中标人需配合实施县区及基层医疗卫生机构，完成项目实施范围内机构的用户端</w:t>
            </w:r>
            <w:r>
              <w:rPr>
                <w:rFonts w:ascii="仿宋_GB2312" w:hAnsi="仿宋_GB2312" w:cs="仿宋_GB2312" w:eastAsia="仿宋_GB2312"/>
                <w:sz w:val="18"/>
                <w:color w:val="000000"/>
              </w:rPr>
              <w:t>PC环境（如电脑、打印机、外设、网络）适配性检查、客户端软件安装/配置/升级、浏览器兼容性调测、用户历史数据（如本地存储的少量数据）导入协助。</w:t>
            </w:r>
          </w:p>
          <w:p>
            <w:pPr>
              <w:pStyle w:val="null3"/>
              <w:jc w:val="both"/>
            </w:pPr>
            <w:r>
              <w:rPr>
                <w:rFonts w:ascii="仿宋_GB2312" w:hAnsi="仿宋_GB2312" w:cs="仿宋_GB2312" w:eastAsia="仿宋_GB2312"/>
                <w:sz w:val="18"/>
                <w:color w:val="000000"/>
              </w:rPr>
              <w:t>要求：提供标准化部署手册</w:t>
            </w:r>
            <w:r>
              <w:rPr>
                <w:rFonts w:ascii="仿宋_GB2312" w:hAnsi="仿宋_GB2312" w:cs="仿宋_GB2312" w:eastAsia="仿宋_GB2312"/>
                <w:sz w:val="18"/>
                <w:color w:val="000000"/>
              </w:rPr>
              <w:t>/脚本，确保用户端可用性。</w:t>
            </w:r>
          </w:p>
          <w:p>
            <w:pPr>
              <w:pStyle w:val="null3"/>
              <w:ind w:firstLine="482"/>
              <w:jc w:val="left"/>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2"/>
              <w:jc w:val="left"/>
            </w:pPr>
            <w:r>
              <w:rPr>
                <w:rFonts w:ascii="仿宋_GB2312" w:hAnsi="仿宋_GB2312" w:cs="仿宋_GB2312" w:eastAsia="仿宋_GB2312"/>
                <w:sz w:val="18"/>
                <w:b/>
                <w:color w:val="000000"/>
              </w:rPr>
              <w:t>(2) 用户基础数据初始化</w:t>
            </w:r>
          </w:p>
          <w:p>
            <w:pPr>
              <w:pStyle w:val="null3"/>
              <w:ind w:firstLine="480"/>
              <w:jc w:val="left"/>
            </w:pPr>
            <w:r>
              <w:rPr>
                <w:rFonts w:ascii="仿宋_GB2312" w:hAnsi="仿宋_GB2312" w:cs="仿宋_GB2312" w:eastAsia="仿宋_GB2312"/>
                <w:sz w:val="18"/>
                <w:color w:val="000000"/>
              </w:rPr>
              <w:t>按省级</w:t>
            </w:r>
            <w:r>
              <w:rPr>
                <w:rFonts w:ascii="仿宋_GB2312" w:hAnsi="仿宋_GB2312" w:cs="仿宋_GB2312" w:eastAsia="仿宋_GB2312"/>
                <w:sz w:val="18"/>
                <w:color w:val="000000"/>
              </w:rPr>
              <w:t>“三秦智医助理”项目软件功能要求，本项目中标人需配合实施县区及基层医疗卫生机构，完成各系统初始化数据、关联对码、用户权限分配管理等工作，数据初始化内容不限于：机构信息、科室信息、人员信息、物资库存、会计科目、药品对码、收费项目维护等基础数据的导入与维护，并协助设置本机构计划任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b/>
              </w:rPr>
              <w:t xml:space="preserve">  （3）机构网络改造</w:t>
            </w:r>
          </w:p>
          <w:p>
            <w:pPr>
              <w:pStyle w:val="null3"/>
            </w:pPr>
            <w:r>
              <w:rPr>
                <w:rFonts w:ascii="仿宋_GB2312" w:hAnsi="仿宋_GB2312" w:cs="仿宋_GB2312" w:eastAsia="仿宋_GB2312"/>
              </w:rPr>
              <w:t xml:space="preserve">    综合布线：“本项目”中标方按照所实施项目点位的业务需求，配合项目地网络接入商布设满足业务应用、设备接入的强弱电线路，要符合综合布线工程规范，保障视频、影像等大流量点位不延时。网络管理：“本项目”中标方配合完善实施项目点位的网络管理，以符合电子政务外网要求重新配置网络，规范管理内外网互通，确保网络高可用性，防止非法设备接入。</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b/>
              </w:rPr>
              <w:t xml:space="preserve">   (4) 设备对接接</w:t>
            </w:r>
            <w:r>
              <w:br/>
            </w:r>
            <w:r>
              <w:rPr>
                <w:rFonts w:ascii="仿宋_GB2312" w:hAnsi="仿宋_GB2312" w:cs="仿宋_GB2312" w:eastAsia="仿宋_GB2312"/>
              </w:rPr>
              <w:t xml:space="preserve">    “三秦智医助理”项目基层一体化包括建设 LIS、PACS、心电、体检等系统，本项目中标人需要按“三秦智医助理”项目设计要求完成项目覆盖实施范围内基层机构各类设备的联机工作。联机方式不限于 TCP/IP、R235/485 串行通信、USB 等方式；连接设备包含但不限于检验设备、影像设备、心电设备、体检设备、健康小屋、社保卡(身份证)读卡器设备、移动支付扫码设备、医保电子凭证/电子健康码扫码等设备；联机准备包括不限于安装端口扩展卡、视频采集卡、心电采集卡等。（具体需要连接的设备以所实施机构现有设备为准）</w:t>
            </w:r>
          </w:p>
          <w:p>
            <w:pPr>
              <w:pStyle w:val="null3"/>
            </w:pPr>
            <w:r>
              <w:rPr>
                <w:rFonts w:ascii="仿宋_GB2312" w:hAnsi="仿宋_GB2312" w:cs="仿宋_GB2312" w:eastAsia="仿宋_GB2312"/>
              </w:rPr>
              <w:t>要求：现场测试、接口开发/配置、联调测试、问题解决、提供相关对接标准化文档手册</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b/>
              </w:rPr>
              <w:t xml:space="preserve">   （5）安全保障</w:t>
            </w:r>
            <w:r>
              <w:br/>
            </w:r>
            <w:r>
              <w:rPr>
                <w:rFonts w:ascii="仿宋_GB2312" w:hAnsi="仿宋_GB2312" w:cs="仿宋_GB2312" w:eastAsia="仿宋_GB2312"/>
              </w:rPr>
              <w:t xml:space="preserve">    配合市政务云开展网络及服务器层面的安全配置、安全监测、补丁修复；基于市政务云提供的入侵防御系统、日志审计、数据库审计、防病毒、堡垒机、WAF防火墙等应用，开展本项目的安全保障工作。根据系统的使用要求，配合市政务云监测服务器CPU、内存、硬盘、数据库的使用情况，配合政务云进行服务器的增配、调优。定期出具安全服务报告。中标方配合市政务云进行国产数据库、中间件、操作系统的安全保障、日常服务、数据备份与恢复及调优工作。配合采购人建立安全管理制度，包括保密制度、安全运维制度、系统账号安全制度，通过制度建立，强化安全责任意识，规范安全合规操作，做好数据备份，建立数据恢复机制。建立事件响应制度，对不同时间建立响应及处置机制。中标方配合采购人开展信息安全等级保护和商用密码评估工作。</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18"/>
                <w:b/>
              </w:rPr>
              <w:t xml:space="preserve">    (6)基层现场统一培训</w:t>
            </w:r>
            <w:r>
              <w:br/>
            </w:r>
            <w:r>
              <w:rPr>
                <w:rFonts w:ascii="仿宋_GB2312" w:hAnsi="仿宋_GB2312" w:cs="仿宋_GB2312" w:eastAsia="仿宋_GB2312"/>
                <w:sz w:val="18"/>
                <w:b/>
              </w:rPr>
              <w:t xml:space="preserve">     培训内容</w:t>
            </w:r>
            <w:r>
              <w:br/>
            </w:r>
            <w:r>
              <w:rPr>
                <w:rFonts w:ascii="仿宋_GB2312" w:hAnsi="仿宋_GB2312" w:cs="仿宋_GB2312" w:eastAsia="仿宋_GB2312"/>
                <w:sz w:val="18"/>
              </w:rPr>
              <w:t xml:space="preserve">     本项目中标人在接受省级集中实施培训后，对本项目实施范围内的各县区、各类人员进行培训。</w:t>
            </w:r>
            <w:r>
              <w:br/>
            </w:r>
            <w:r>
              <w:rPr>
                <w:rFonts w:ascii="仿宋_GB2312" w:hAnsi="仿宋_GB2312" w:cs="仿宋_GB2312" w:eastAsia="仿宋_GB2312"/>
                <w:sz w:val="18"/>
                <w:b/>
              </w:rPr>
              <w:t xml:space="preserve">    培训内容包括：</w:t>
            </w:r>
            <w:r>
              <w:rPr>
                <w:rFonts w:ascii="仿宋_GB2312" w:hAnsi="仿宋_GB2312" w:cs="仿宋_GB2312" w:eastAsia="仿宋_GB2312"/>
                <w:sz w:val="18"/>
              </w:rPr>
              <w:t>系统总体情况培训，包括项目背景及总体规划培训和总体架构设计及部署培训；系统技术及管理维护培训，包括系统功能介绍培训、相关技术理论培训；系统操作及专业技能培训，包括应用系统基本知识和功能培训、应用系统操作和使用培训、常见故障与排除方法培训；针对村卫生室的个性化需求及示范操作辅导。</w:t>
            </w:r>
            <w:r>
              <w:br/>
            </w:r>
            <w:r>
              <w:rPr>
                <w:rFonts w:ascii="仿宋_GB2312" w:hAnsi="仿宋_GB2312" w:cs="仿宋_GB2312" w:eastAsia="仿宋_GB2312"/>
                <w:sz w:val="18"/>
                <w:b/>
              </w:rPr>
              <w:t xml:space="preserve">    培训对象：</w:t>
            </w:r>
            <w:r>
              <w:rPr>
                <w:rFonts w:ascii="仿宋_GB2312" w:hAnsi="仿宋_GB2312" w:cs="仿宋_GB2312" w:eastAsia="仿宋_GB2312"/>
                <w:sz w:val="18"/>
              </w:rPr>
              <w:t>市级中心平台端管理维护人员，全市范围内使用到项目系统的各级系统管理人员、业务管理人员及各县(区)基层医疗机构医护操作人员、村卫生室人员等。</w:t>
            </w:r>
            <w:r>
              <w:br/>
            </w:r>
            <w:r>
              <w:rPr>
                <w:rFonts w:ascii="仿宋_GB2312" w:hAnsi="仿宋_GB2312" w:cs="仿宋_GB2312" w:eastAsia="仿宋_GB2312"/>
                <w:sz w:val="18"/>
              </w:rPr>
              <w:t xml:space="preserve">   </w:t>
            </w:r>
            <w:r>
              <w:rPr>
                <w:rFonts w:ascii="仿宋_GB2312" w:hAnsi="仿宋_GB2312" w:cs="仿宋_GB2312" w:eastAsia="仿宋_GB2312"/>
                <w:sz w:val="18"/>
                <w:b/>
              </w:rPr>
              <w:t xml:space="preserve">  培训要求及形式</w:t>
            </w:r>
            <w:r>
              <w:rPr>
                <w:rFonts w:ascii="仿宋_GB2312" w:hAnsi="仿宋_GB2312" w:cs="仿宋_GB2312" w:eastAsia="仿宋_GB2312"/>
                <w:sz w:val="18"/>
              </w:rPr>
              <w:t>：本项目中标人需要针对各医疗机构业务人员、系统管理人员、综合监管人员、中心平台维护人员进行分类分角色培训，以及项目实施区域的单独培训。</w:t>
            </w:r>
            <w:r>
              <w:br/>
            </w:r>
            <w:r>
              <w:rPr>
                <w:rFonts w:ascii="仿宋_GB2312" w:hAnsi="仿宋_GB2312" w:cs="仿宋_GB2312" w:eastAsia="仿宋_GB2312"/>
                <w:sz w:val="18"/>
              </w:rPr>
              <w:t xml:space="preserve">     通过培训使各类用户能独立进行系统设置、各角色业务操作、数据查询、综合指标监管、使用故障处理、 日常数据维护等。培训采取的形式包含集中授课、分片培训、现场手把手教学、线上直播/录播相结合等方式，对每个卫生院/社卫中心操作人员现场培训不少于1次。</w:t>
            </w:r>
            <w:r>
              <w:br/>
            </w:r>
            <w:r>
              <w:rPr>
                <w:rFonts w:ascii="仿宋_GB2312" w:hAnsi="仿宋_GB2312" w:cs="仿宋_GB2312" w:eastAsia="仿宋_GB2312"/>
                <w:sz w:val="18"/>
                <w:b/>
              </w:rPr>
              <w:t xml:space="preserve">    培训材料</w:t>
            </w:r>
            <w:r>
              <w:rPr>
                <w:rFonts w:ascii="仿宋_GB2312" w:hAnsi="仿宋_GB2312" w:cs="仿宋_GB2312" w:eastAsia="仿宋_GB2312"/>
                <w:sz w:val="18"/>
              </w:rPr>
              <w:t>：本项目中标人应根据培训不同内容，提供标准化的、易于理解的培训教材（电子版+纸质版）、操作手册、操作视频、快速指南、常见问题解答（FAQ）。</w:t>
            </w:r>
            <w:r>
              <w:br/>
            </w:r>
            <w:r>
              <w:rPr>
                <w:rFonts w:ascii="仿宋_GB2312" w:hAnsi="仿宋_GB2312" w:cs="仿宋_GB2312" w:eastAsia="仿宋_GB2312"/>
                <w:sz w:val="18"/>
              </w:rPr>
              <w:t xml:space="preserve">  </w:t>
            </w:r>
            <w:r>
              <w:rPr>
                <w:rFonts w:ascii="仿宋_GB2312" w:hAnsi="仿宋_GB2312" w:cs="仿宋_GB2312" w:eastAsia="仿宋_GB2312"/>
                <w:sz w:val="18"/>
                <w:b/>
              </w:rPr>
              <w:t xml:space="preserve">   培训考核：</w:t>
            </w:r>
            <w:r>
              <w:rPr>
                <w:rFonts w:ascii="仿宋_GB2312" w:hAnsi="仿宋_GB2312" w:cs="仿宋_GB2312" w:eastAsia="仿宋_GB2312"/>
                <w:sz w:val="18"/>
              </w:rPr>
              <w:t>本项目中标人应建立考核机制（如在线测试、操作演示）确保效果。培训结束后，关键用户（如管理员、骨干）操作考核通过率需≥95%，普通用户（如村医）操作考核通过率需≥85%。未通过者需提供补训直至通过。</w:t>
            </w:r>
            <w:r>
              <w:br/>
            </w:r>
            <w:r>
              <w:rPr>
                <w:rFonts w:ascii="仿宋_GB2312" w:hAnsi="仿宋_GB2312" w:cs="仿宋_GB2312" w:eastAsia="仿宋_GB2312"/>
                <w:sz w:val="18"/>
              </w:rPr>
              <w:t xml:space="preserve">    </w:t>
            </w:r>
            <w:r>
              <w:rPr>
                <w:rFonts w:ascii="仿宋_GB2312" w:hAnsi="仿宋_GB2312" w:cs="仿宋_GB2312" w:eastAsia="仿宋_GB2312"/>
                <w:sz w:val="18"/>
                <w:b/>
              </w:rPr>
              <w:t xml:space="preserve"> 交付物：</w:t>
            </w:r>
            <w:r>
              <w:rPr>
                <w:rFonts w:ascii="仿宋_GB2312" w:hAnsi="仿宋_GB2312" w:cs="仿宋_GB2312" w:eastAsia="仿宋_GB2312"/>
                <w:sz w:val="18"/>
              </w:rPr>
              <w:t>本项目中标人应制定详细的培训计划（分区域分批次）、培训签到表、培训教材、考核记录、培训效果评估报告。</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18"/>
                <w:b/>
              </w:rPr>
              <w:t xml:space="preserve">    (7) 问题处置反馈</w:t>
            </w:r>
          </w:p>
          <w:p>
            <w:pPr>
              <w:pStyle w:val="null3"/>
            </w:pPr>
            <w:r>
              <w:rPr>
                <w:rFonts w:ascii="仿宋_GB2312" w:hAnsi="仿宋_GB2312" w:cs="仿宋_GB2312" w:eastAsia="仿宋_GB2312"/>
                <w:sz w:val="18"/>
              </w:rPr>
              <w:t xml:space="preserve">    本项目中标人应为本项目应用方提供完善的问题处置方案，建立起7x24小时多级响应机制（如热线电话、在线客服、远程支持、现场支持），及时响应用户在系统操作过程中遇到的问题，并建立问题收集反馈机制，对记录、处理、关闭问题进行收集跟踪，定期提供问题分析报告，整理成“常见问题 Q&amp;A”文档，便于用户快速查阅。</w:t>
            </w:r>
            <w:r>
              <w:br/>
            </w:r>
            <w:r>
              <w:rPr>
                <w:rFonts w:ascii="仿宋_GB2312" w:hAnsi="仿宋_GB2312" w:cs="仿宋_GB2312" w:eastAsia="仿宋_GB2312"/>
                <w:sz w:val="18"/>
              </w:rPr>
              <w:t xml:space="preserve">     现场驻点支持要求:在每个县区集中部署阶段要在重点卫生院/社区卫生服务中心安排专职支持人员现场驻点，实时解决操作问题。 并行推进阶段，需保证足够机动力量。</w:t>
            </w:r>
            <w:r>
              <w:br/>
            </w:r>
            <w:r>
              <w:rPr>
                <w:rFonts w:ascii="仿宋_GB2312" w:hAnsi="仿宋_GB2312" w:cs="仿宋_GB2312" w:eastAsia="仿宋_GB2312"/>
                <w:sz w:val="18"/>
              </w:rPr>
              <w:t xml:space="preserve">     多渠道响应要求:包括热线电话，通过远程工具快速接管用户屏幕，即时通讯群组技术支持途径，安排专业人员实时答疑。</w:t>
            </w:r>
            <w:r>
              <w:br/>
            </w:r>
            <w:r>
              <w:rPr>
                <w:rFonts w:ascii="仿宋_GB2312" w:hAnsi="仿宋_GB2312" w:cs="仿宋_GB2312" w:eastAsia="仿宋_GB2312"/>
                <w:sz w:val="18"/>
              </w:rPr>
              <w:t xml:space="preserve">     各级问题的服务要求：</w:t>
            </w:r>
            <w:r>
              <w:br/>
            </w:r>
            <w:r>
              <w:rPr>
                <w:rFonts w:ascii="仿宋_GB2312" w:hAnsi="仿宋_GB2312" w:cs="仿宋_GB2312" w:eastAsia="仿宋_GB2312"/>
                <w:sz w:val="18"/>
              </w:rPr>
              <w:t xml:space="preserve">     核心业务中断： 10分钟内响应，2小时内定位，4小时内到场恢复。</w:t>
            </w:r>
            <w:r>
              <w:br/>
            </w:r>
            <w:r>
              <w:rPr>
                <w:rFonts w:ascii="仿宋_GB2312" w:hAnsi="仿宋_GB2312" w:cs="仿宋_GB2312" w:eastAsia="仿宋_GB2312"/>
                <w:sz w:val="18"/>
              </w:rPr>
              <w:t xml:space="preserve">     严重功能故障： 30分钟内响应，4小时内定位，8小时内提供解决方案/补丁。</w:t>
            </w:r>
            <w:r>
              <w:br/>
            </w:r>
            <w:r>
              <w:rPr>
                <w:rFonts w:ascii="仿宋_GB2312" w:hAnsi="仿宋_GB2312" w:cs="仿宋_GB2312" w:eastAsia="仿宋_GB2312"/>
                <w:sz w:val="18"/>
              </w:rPr>
              <w:t xml:space="preserve">     一般操作问题/咨询： 即时响应（在线/电话），30分钟内解答。</w:t>
            </w:r>
            <w:r>
              <w:br/>
            </w:r>
            <w:r>
              <w:rPr>
                <w:rFonts w:ascii="仿宋_GB2312" w:hAnsi="仿宋_GB2312" w:cs="仿宋_GB2312" w:eastAsia="仿宋_GB2312"/>
                <w:sz w:val="18"/>
              </w:rPr>
              <w:t xml:space="preserve">     非紧急优化建议： 按需求流程处理。</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b/>
              </w:rPr>
              <w:t xml:space="preserve">  现场服务</w:t>
            </w:r>
          </w:p>
          <w:p>
            <w:pPr>
              <w:pStyle w:val="null3"/>
            </w:pPr>
            <w:r>
              <w:rPr>
                <w:rFonts w:ascii="仿宋_GB2312" w:hAnsi="仿宋_GB2312" w:cs="仿宋_GB2312" w:eastAsia="仿宋_GB2312"/>
                <w:sz w:val="18"/>
              </w:rPr>
              <w:t xml:space="preserve">    项目自启动到正式运行期间，保证每个卫生院(社区卫生服务中心) 至少应有1人到达现场进行实施及上线支撑。全体项目团队需全面参加省级“三秦智医”包 1、包2中标人的培训并满足考核要求。项目安排专人全面对接的工作，不限于专人优化培训材料、专人在线服务及管理“日常问答”、专人梳理需求并反馈用户等。</w:t>
            </w:r>
          </w:p>
          <w:p>
            <w:pPr>
              <w:pStyle w:val="null3"/>
            </w:pPr>
            <w:r>
              <w:rPr>
                <w:rFonts w:ascii="仿宋_GB2312" w:hAnsi="仿宋_GB2312" w:cs="仿宋_GB2312" w:eastAsia="仿宋_GB2312"/>
                <w:sz w:val="18"/>
              </w:rPr>
              <w:t xml:space="preserve">    新旧数据迁移校验：在省级“三秦智医 ”包3完成数据迁移的基础上，协助对迁移后的数据进行校验，并导入到新系统，保证新旧系统数据基本一致，公卫、财务、医保等连续性业务不受影响。</w:t>
            </w:r>
          </w:p>
          <w:p>
            <w:pPr>
              <w:pStyle w:val="null3"/>
            </w:pPr>
            <w:r>
              <w:rPr>
                <w:rFonts w:ascii="仿宋_GB2312" w:hAnsi="仿宋_GB2312" w:cs="仿宋_GB2312" w:eastAsia="仿宋_GB2312"/>
                <w:sz w:val="18"/>
              </w:rPr>
              <w:t xml:space="preserve">    配合推进设备采购：“本项目”中标方对照省级“三秦智医”推荐技术参数和数量要求，在对电脑终端、外设设备等完成测试的基础上，协助所实施县（市区）卫健局梳理应增配采购设备的数量。内容包括但不限于机构科室设置、医疗设备、外网配置、内网布线、终端电脑、网络安全设备、采集卡、输入输出设备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中标方应合理配置团队，团队成员人数不少于50人。并按采购人要求计划时间，依次、依序、巡回推进调研、网络改造、数据初始化、设备联机、用户培训、上线前验证、系统对接、试运行、需求反馈、系统上线保障、上线问题处置工作，保障进度要求。 （1） 组织及能力要求 保证每个卫生院(社区服务中心)在系统正式上线运行期间，不少于1人到达现场进行实施及上线支撑。项目经理需具备丰富的项目管理经验：全部项目团队需全面参加省级“三秦智医”包1、包2中标方的培训并满足考核要求。项目安排专人全面对接的工作，不限于专人优化培训材料、专人在线服务及管理“日常问答 ”、专人梳理需求 并反馈用户等。 （2） 岗位及角色要求 项目实施团队角色需覆盖技术、医疗、管理和服务多维度，不限于如下核心岗位及其职责分工： 项目经理：统筹项目全生命周期，制定计划、分配资源、管控风险，协调医院方与厂商团队：协调相关科室及供应商召开需求确认会。 实施顾问：负责系统配置、流程优化与需求落地，如业务顾问梳理医院现有流程，设计系统适配方案。 技术顾问：负责接口开发(如HIS与医保系统对接)、报表定制。 技术支持工程师：解决部署中的技术问题，包括服务器搭建、网络调试、数据库优化。 培训专员：分科室培训医护人员(如医生工作站、护士护理屏操作)，制作培训材料。 数据工程师：处理历史数据(如系统外数据采集、平台数据推送等)及新系统数据初始化的脚本编写、任务调度等。 质量(QA)工程师：制定测试用例，执行功能/性能/安全测试，出具测试报告。 安全工程师：负责安全测试、安全配置、安全监测；配合开展数据备份与恢复；配合开展日常安全自查、补丁修复等工作；出具安全服务报告。配合开展信息安全等级保护和商用密码评估工作问题的整改。 客户经理：上线后跟踪系统使用情况，收集反馈，推动持续优化(如个性化流程变更)，提升用户满意度。 售后服务专员：提供系统上线后7×24小时技术咨询服务和故障服务受理。 变更管理顾问：通过沟通、培训、激励措施减少医护人员对系统变更的抵触。</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满足招标文件和采购人要求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项目实施要求 （一）项目建设进度要求 中标方需从合同签订之日起，在10日内完成3个一期试点县（丹凤县、商南县、镇安县）的基层一体化子系统（含人工智能辅助诊疗）调试联通工作；在30日内完成3个一期试点县上线应用实施工作；在90日内，完成剩余4县区（商州区、洛南县、山阳县、柞水县）的系统实施以及省级“三秦智医助理,项目其他应用功能在全市（含试点县）的上线。实际工作进度需配合省卫健委项目整体推进要求，如因省级原因导致本项目启动延迟，项目总工期相应顺延，但中标方需在收到启动通知后严格按照上述30日/90日要求执行。中标方需在投标文件中提供详细的、考虑并行实施的分县区推进计划甘特图 及资源投入计划。 （二）项目实施团队要求 项目团队：本项目中标人应合理配置团队,配备经验丰富的项目经理、技术负责人、培训讲师、运维支持人员等，项目经理需具有PMP、计算机技术与软件专业技术资格高级职称，具备同类、同规模项目管理经验。项目经理、技术负责人、首席培训讲师等核心成员（名单在投标文件中明确）必须全 程负责本项目，未经采购人书面同意不得更换。如需更换，替补人员资质和经验不得低于原人员，并需获得采购人认可。 省级培训要求：全体项目团队需全面参加省级“三秦智医助理”包1、包2中标人的培训考核，达到考核要求。 本地服务要求：中标方必须在商洛市配备足够数量的本地化支持人员，以确保快速响应和持续服务能力。投标时需提供本地团队人员清单及资质证明。 其他要求：中标人需有能力保障项目在多个县区并行推进。并按招标人方要求计划时间，依次、依序、巡回推进调研、数据初始化、设备联机、用户培训、上线前验证、需求反馈、系统上线保障、上线问题处置工作，保障进度要求。项目自启动到正式运行期间，保证每个卫生院(社区服务中心)现 场应有不少于1人到场实施，项目安排专人全面对接的工作，不限于专人优化培训材料、专人在线服务及管理“日常问答”、专人梳理需求并反馈用户等。 项目计划：本项目中标人需提交详细的项目实施计划（甘特图/网络图），包含关键里程碑（如部署完成、数据迁移完成、培训完成、项目初验、终验）。 项目管理：要求建立周报/月报制度、定期项目例会制度、风险管理制度、变更管理流程。 文档交付：列出所有需要交付的技术文档、管理文档、用户文档清单（如实施方案、部署文档、测试报告、培训材料、操作手册、维护手册、验收报告等）及交付时间节点、符合验收格式要求。 2.售后服务要求 （一）项目质保期：项目最终验收合格之日起进入3年免费质量保证期。在质保期内，中标人应免费提供系统维护、升级、故障排除等服务。 （二）售后服务内容：系统日常监控、故障处理、BUG修复、性能优化、操作咨询、小范围适应性调整、定期巡检、重要时期保障。 （三）售后服务团队要求：在免费质保期内，中标人必须保证在商洛市范围内有技术支持团队，提供不少于2名现场工程师。并配备充足的远程支持团队，提供7×24小时售后服务热线，核心业务中断、严重故障应在10分钟内响应，2小时内完成远程诊断与初步处置，确需现场的，4小时内到达现场处理 ，一般日常业务操作咨询需提供即时响应（含远程或电话、微信、QQ等方式）。质保期内每月出具服务报告，包括服务器巡检报告、售后服务报告、质量安全报告。 （四）知识转移要求：在服务期内向采购人技术人员提供必要的知识转移和培训。包括但不限于：系统架构图、运维手册、故障处理手册、备份恢复手册、关键配置文档、培训材料源码等。在项目终验前，中标方需确保采购人指定的至少2名技术人员能够独立完成系统的日常监控、基础故障排查和运 维操作。中标方及其人员必须严格遵守国家保密法律法规和采购人的保密规定，对项目实施中接触到的所有敏感信息（包括但不限于业务数据、系统架构、配置信息）承担保密义务。签订保密协议。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服务合同签署后10个月内全部完成项目的所有实施内容。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考核（验收）标准和方法 1. 验收方式 采用“初验+稳定运行+终验”三阶段机制，初验为省上采购的所有系统部署上线后；稳定运行为系统切换上线并稳定运行30天；终验为稳定运行期问题清零，并完成与甲方商定的相关外联接口对接。完成市级软件部署后，“三秦智医助理”涉及的软 件功能经过测试由软件采购人（即陕西省卫健委）进行初步验收。本项目采购人负责对商洛域内实施项目相关服务内容（包括部署支持、数据迁移支持、对接实施、培训、运维保障等）进行最终验收。 2. 终验指标 机构网络改造:新增点位符合综合布线工程规范，符合国家电子政务外网接入要求，内外网通过安全策略实现互通。 用户数据初始化:初始化数据完全满足系统运行及会计核算，准确率 100% 设备联机与对接:支持联机并提供技术支持的设备，联机率 100% 应用系统培训:全部用户参培率 100%； 系统管理用户考核通过率 100%； 迁移数据验证:根据机构需求及新系统数据规范，完成软件上线前历史数据(由省级“三秦智医”包 3 提供)的验证，数据验证覆盖率 100% ，迁移前后数据一致率100%。 外联接口对接：完成率达到 100% 试运行及需求反馈:进行需求闭环管理，一线需求采集率 100%；需求管理跟踪 100%；反馈优化结果 100%；每个闭环时间，紧急问题&lt;4 小时，一般问题不超过 1 天，复杂问题不超过 1 周。试运行期间系统故障处理率达到 100%，若出现重大阻断性 问题项目试运行时间重新计算。 新旧系统割接:新旧系统切换过程平稳、高效、安全，切换前后实物库存衔接准确，会计科目期末期初一致，月度财务数据实现合并统计，月度记账平衡。 3. 文档验收 文档包括过程管控、技术文档、用户手册等，“本项目”中标人基于省级“三秦智医”项目各包中标人提供的通用版文件，根据本项目交付实际进行调整及补充。文档要求版本与系统版本一致。 过程文档交付：包括不限于《系统架构设计文档》、《业务流程设计报告》、《系统部署文档》、《测试计划》、《测试报告》、《软件运行报告》、《用户操作手册》、《培训材料》、《项目验收报告》、《运维交接清单》、《系统优化记录表》 等。 用户文档交付：包括不限于《用户操作手册》、《系统运维手册》、《故障处理指南》、《数据字典》、《接口文档》、《安全操作规范》等。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的相关条款和本合同约定，中标供应商未全面履行合同义务或者发生违约的，采购单位会同采购代理机构有权终止合同，依法向中标供应商进行经济索赔，并报请政府采购监督管理机关进行相应的行政处罚。采购单位违约的，应当赔偿给中标供应商造成的经济损失。 合同争议的解决：合同执行中发生争议的，当事人双方应协商解决，协商达不成一致时，可向采购人住所地有管辖权的人民法院提起诉讼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1.供应商缴纳保证金时请备注：项目编号。 2.为保证项目存档使用,供应商须递交纸质版响应文件，纸质版响应文件递交要求：正本壹份、副本贰份、电子版文件贰份（U盘）。 3.密封包装方式：投标文件正本一个封袋、副本一个封袋、电子版文件放置正本封袋内，电子版文件须粘贴注明投标人名称的标签。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其他资料.docx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营业执照符合招标文件要求,合法有效</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具有独立承担民事责任能力的法人或其他组织，提供合法有效的统一社会信用代码的营业执照（附年度报告书）或事业单位法人证书等国家规定的相关证明，自然人参与的提供其身份证明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法定代表人授权书符合招标文件要求,合法有效</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法定代表人授权书（附法定代表人身份证复印件）及被授权人身份证（法定代表人直接参加只须提供法定代表人身份证）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税收缴纳证明符合招标文件要求,合法有效</w:t>
            </w:r>
          </w:p>
        </w:tc>
        <w:tc>
          <w:tcPr>
            <w:tcW w:type="dxa" w:w="3322"/>
          </w:tcPr>
          <w:p>
            <w:pPr>
              <w:pStyle w:val="null3"/>
            </w:pPr>
            <w:r>
              <w:rPr>
                <w:rFonts w:ascii="仿宋_GB2312" w:hAnsi="仿宋_GB2312" w:cs="仿宋_GB2312" w:eastAsia="仿宋_GB2312"/>
              </w:rPr>
              <w:t>税收缴纳证明：提供开标前三个月的缴税凭证或依法免税的投标单位应提供相关文件证明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社会保障资金缴纳证明符合招标文件要求,合法有效</w:t>
            </w:r>
          </w:p>
        </w:tc>
        <w:tc>
          <w:tcPr>
            <w:tcW w:type="dxa" w:w="3322"/>
          </w:tcPr>
          <w:p>
            <w:pPr>
              <w:pStyle w:val="null3"/>
            </w:pPr>
            <w:r>
              <w:rPr>
                <w:rFonts w:ascii="仿宋_GB2312" w:hAnsi="仿宋_GB2312" w:cs="仿宋_GB2312" w:eastAsia="仿宋_GB2312"/>
              </w:rPr>
              <w:t>社会保障资金缴纳证明：提供已缴纳提供开标前三个月的社会保障资金缴存证明或社保机构开具的社会保险参保缴费情况证明；依法不需要缴纳社会保障资金的应提供相关文件证明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财务状况报告符合招标文件要求,合法有效</w:t>
            </w:r>
          </w:p>
        </w:tc>
        <w:tc>
          <w:tcPr>
            <w:tcW w:type="dxa" w:w="3322"/>
          </w:tcPr>
          <w:p>
            <w:pPr>
              <w:pStyle w:val="null3"/>
            </w:pPr>
            <w:r>
              <w:rPr>
                <w:rFonts w:ascii="仿宋_GB2312" w:hAnsi="仿宋_GB2312" w:cs="仿宋_GB2312" w:eastAsia="仿宋_GB2312"/>
              </w:rPr>
              <w:t>财务状况报告：投标单位提供 2023 年度或 2024 年度的财务审计报告(成立时间至提交投标文件截止时间不足一年的可提供成立后任意时段的资产负债表)，或其基本存款账户开户银行出具的资信证明及基本存款账户开户信息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信誉截图符合招标文件要求,合法有效</w:t>
            </w:r>
          </w:p>
        </w:tc>
        <w:tc>
          <w:tcPr>
            <w:tcW w:type="dxa" w:w="3322"/>
          </w:tcPr>
          <w:p>
            <w:pPr>
              <w:pStyle w:val="null3"/>
            </w:pPr>
            <w:r>
              <w:rPr>
                <w:rFonts w:ascii="仿宋_GB2312" w:hAnsi="仿宋_GB2312" w:cs="仿宋_GB2312" w:eastAsia="仿宋_GB2312"/>
              </w:rPr>
              <w:t>投标单位不得为“信用中国”网站中列入严重失信主体和重大税收违法失信主体，不得为中国政府采购网政府采购严重违法失信行为记录名单中被财政部门禁止参加政府采购活动的供应商（提供查询结果网页截图并加盖投标单位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声明函符合招标文件要求</w:t>
            </w:r>
          </w:p>
        </w:tc>
        <w:tc>
          <w:tcPr>
            <w:tcW w:type="dxa" w:w="3322"/>
          </w:tcPr>
          <w:p>
            <w:pPr>
              <w:pStyle w:val="null3"/>
            </w:pPr>
            <w:r>
              <w:rPr>
                <w:rFonts w:ascii="仿宋_GB2312" w:hAnsi="仿宋_GB2312" w:cs="仿宋_GB2312" w:eastAsia="仿宋_GB2312"/>
              </w:rPr>
              <w:t>投标单位须提供参加政府采购活动近三年内，在经营活动中没有重大违法记录声明函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投标保证金凭证符合招标文件要求</w:t>
            </w:r>
          </w:p>
        </w:tc>
        <w:tc>
          <w:tcPr>
            <w:tcW w:type="dxa" w:w="3322"/>
          </w:tcPr>
          <w:p>
            <w:pPr>
              <w:pStyle w:val="null3"/>
            </w:pPr>
            <w:r>
              <w:rPr>
                <w:rFonts w:ascii="仿宋_GB2312" w:hAnsi="仿宋_GB2312" w:cs="仿宋_GB2312" w:eastAsia="仿宋_GB2312"/>
              </w:rPr>
              <w:t>投标保证金凭证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承诺书符合招标文件要求</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投标有效期未满足招标文件要求的；（3）报价超过招标文件中规定的预算金额或者最高限价的；（4）对招标文件商务、技术要求出现重大负偏离的；(5)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价格评审</w:t>
            </w:r>
          </w:p>
        </w:tc>
        <w:tc>
          <w:tcPr>
            <w:tcW w:type="dxa" w:w="2492"/>
          </w:tcPr>
          <w:p>
            <w:pPr>
              <w:pStyle w:val="null3"/>
            </w:pPr>
            <w:r>
              <w:rPr>
                <w:rFonts w:ascii="仿宋_GB2312" w:hAnsi="仿宋_GB2312" w:cs="仿宋_GB2312" w:eastAsia="仿宋_GB2312"/>
              </w:rPr>
              <w:t>评分方法：P=10×Pmin/Pn 其中：Pmin：有效投标报价中的最低价。 Pn：第 n 个投标人的投标报价。 计算分数时四舍五入取小数点后两位 符合招标文件规定的中小微企业、监狱企业、残疾人福利企业优惠条件的供应商，价格给予 10%的扣除，用扣除后的价格参与评审。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单位提供2022年1月1日至今类似项目业绩，且单份业绩合同金额100万（含）以上，每提供一份有效业绩合同的得2分，满分6分，不提供不得分。（须附合同首页、标的及金额所在页、签字盖章页的合同扫描件或复印件的证明材料）。注：以验收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技术实力</w:t>
            </w:r>
          </w:p>
        </w:tc>
        <w:tc>
          <w:tcPr>
            <w:tcW w:type="dxa" w:w="2492"/>
          </w:tcPr>
          <w:p>
            <w:pPr>
              <w:pStyle w:val="null3"/>
            </w:pPr>
            <w:r>
              <w:rPr>
                <w:rFonts w:ascii="仿宋_GB2312" w:hAnsi="仿宋_GB2312" w:cs="仿宋_GB2312" w:eastAsia="仿宋_GB2312"/>
              </w:rPr>
              <w:t>1.投标人具有ISO9001 质量管理体系认证和ISO20000 信息技术服务管理 体系认证证书；（具有两个得2分，具有一个得1分，没有不得分） 2.投标人具有ISO27001 信息安全管理体系认证和ISO27701隐私信息管理体系认证证书；（具有两个得2分，具有一个得1分，没有不得分）； 3.具备DCMM数据管理能力成熟度等级证书得1分,信息系统建设和服务能力评估体系能力优秀级得1分、其余不得分;· 4.投标人具备有效期内的信息安全服务资质认证证书(安全集成)得1分，信息安全应急处理资质认证证书得1分，没有不得分。 注：需提供有效期内的资质证书并加盖供应商公章。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团队服务能力</w:t>
            </w:r>
          </w:p>
        </w:tc>
        <w:tc>
          <w:tcPr>
            <w:tcW w:type="dxa" w:w="2492"/>
          </w:tcPr>
          <w:p>
            <w:pPr>
              <w:pStyle w:val="null3"/>
            </w:pPr>
            <w:r>
              <w:rPr>
                <w:rFonts w:ascii="仿宋_GB2312" w:hAnsi="仿宋_GB2312" w:cs="仿宋_GB2312" w:eastAsia="仿宋_GB2312"/>
              </w:rPr>
              <w:t>1.项目经理(3分)①供应商指派的项目经理具备项目经理资格认证证书(PHP)或信息系统项目管理师或系统架构设计师，具有任意两个得2分，具有任意其中一个得1分，没有不得分；②具有类似项目经验的得1分（评审依据：须提供参与类似项目的证明材料）。2.项目技术负责人（2分）①具备系统规划与管理师或软件设计师证书的得1分；②具有类似项目经验的得1分（评审依据：须提供参与类似项目的证明材料）。3.实施团队要求(11 分)①实施团队人员（除项目经理、技术负责人外）不低于30人。达到30人得基础分2分，每超出2人加1分，最高得8分，不足30人不得分。②实施团队人员需具备系统集成项目管理工程师、数据库系统工程师、高级信息安全管理工程师、系统分析师、网络工程师、软件评测师等证书，每持有1个不同类别证书得0.5分，最高累计3分（一人多证的，不重复计分）。以上须提供人员证书复印件、参与类似项目的证明材料，以及半年内连续3个月人员社保证明。</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根据投标人对本项目的需求理解分析情况，综合赋分，内容包含：①基础设施、业务系统现状；②业务需求分析；③硬件资源需求分析。方案各项内容全面详细、阐述条理清晰详尽、符合本项目采购需求，能有效 保障本项目实施的得 9 分，每有一个缺项扣 3 分，每有一项内容存在缺陷，扣0.5-2 分，扣完为止。 备注:缺陷是指内容不合理、虽有内容但不完善、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实施管理方案</w:t>
            </w:r>
          </w:p>
        </w:tc>
        <w:tc>
          <w:tcPr>
            <w:tcW w:type="dxa" w:w="2492"/>
          </w:tcPr>
          <w:p>
            <w:pPr>
              <w:pStyle w:val="null3"/>
            </w:pPr>
            <w:r>
              <w:rPr>
                <w:rFonts w:ascii="仿宋_GB2312" w:hAnsi="仿宋_GB2312" w:cs="仿宋_GB2312" w:eastAsia="仿宋_GB2312"/>
              </w:rPr>
              <w:t>根据项目要求提供详尽实施管理方案，综合赋分，具体包括： ①项目管理组织； ②项目实施计划； ③项目运维方案； ④质量管理与控制措施、项目风险及控制措施； ⑤ 安全保障措施，进行综合评分 。 方案各项内容全面详细、阐述条理清晰详尽、符合本项目采购需求，能有效保障本项目实施的得 15分，每有一个缺项扣 3 分，每有一项内容存在缺陷，扣0.5-2分，扣完为止。 备注:缺陷是指内容不合理、虽有内容但不完善、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根据投标人提供的项目培训方案进行综合评分，具体包括: ①培训方式；②培训内容；③培训质量保障。 方案各项内容全面详细、阐述条理清晰详尽、符合本项目采购需求，能有效保障本项目实施的得 12 分，每有一个缺项扣 4 分，每有一项内容存在缺陷，扣0.5-3 分，扣完为止。 备注:缺陷是指内容不合理、虽有内容但不完善、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针对本项目提供拟定的应急预案，内容包含 ①应急事件分类；②各类应急事件的完整处理流程；③业务恢复步骤；④业务恢复后数据处理方案。 方案各项内容全面详细、阐述条理清晰详尽、符合本项目采购需求，能有效保障本项目实施的得 12 分，每有一个缺项扣 3 分，每有一项内容存在缺陷，扣0.5-2 分，扣完为止。 备注:缺陷是指内容不合理、虽有内容但不完善、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根据投标人提供的售后服务方案进行综合评分，内容包含： ①售后服务方式 ;②售后服务措施 ;③售后服务体系:④具有质保期满后的服务承诺。 方案各项内容全面详细、阐述条理清晰详尽、符合本项目采购需求，能有效保障本项目实施的得 12 分，每有一个缺项扣 3 分，每有一项内容存在缺陷，扣0.5-2 分，扣完为止。 备注:缺陷是指内容不合理、虽有内容但不完善、 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详见附件：服务合同参考范本.docx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