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版本号：SXSL－2025－4720251022001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校舍修缮改造项目设计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SXSL－2025－47</w:t>
      </w:r>
      <w:r>
        <w:br/>
      </w:r>
      <w:r>
        <w:br/>
      </w:r>
      <w:r>
        <w:br/>
      </w:r>
    </w:p>
    <w:p>
      <w:pPr>
        <w:pStyle w:val="null3"/>
        <w:jc w:val="center"/>
        <w:outlineLvl w:val="2"/>
      </w:pPr>
      <w:r>
        <w:rPr>
          <w:rFonts w:ascii="仿宋_GB2312" w:hAnsi="仿宋_GB2312" w:cs="仿宋_GB2312" w:eastAsia="仿宋_GB2312"/>
          <w:sz w:val="28"/>
          <w:b/>
        </w:rPr>
        <w:t>商洛市小学</w:t>
      </w:r>
    </w:p>
    <w:p>
      <w:pPr>
        <w:pStyle w:val="null3"/>
        <w:jc w:val="center"/>
        <w:outlineLvl w:val="2"/>
      </w:pPr>
      <w:r>
        <w:rPr>
          <w:rFonts w:ascii="仿宋_GB2312" w:hAnsi="仿宋_GB2312" w:cs="仿宋_GB2312" w:eastAsia="仿宋_GB2312"/>
          <w:sz w:val="28"/>
          <w:b/>
        </w:rPr>
        <w:t>陕西上洛管理咨询有限公司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陕西上洛管理咨询有限公司</w:t>
      </w:r>
      <w:r>
        <w:rPr>
          <w:rFonts w:ascii="仿宋_GB2312" w:hAnsi="仿宋_GB2312" w:cs="仿宋_GB2312" w:eastAsia="仿宋_GB2312"/>
        </w:rPr>
        <w:t>（以下简称“代理机构”）受</w:t>
      </w:r>
      <w:r>
        <w:rPr>
          <w:rFonts w:ascii="仿宋_GB2312" w:hAnsi="仿宋_GB2312" w:cs="仿宋_GB2312" w:eastAsia="仿宋_GB2312"/>
        </w:rPr>
        <w:t>商洛市小学</w:t>
      </w:r>
      <w:r>
        <w:rPr>
          <w:rFonts w:ascii="仿宋_GB2312" w:hAnsi="仿宋_GB2312" w:cs="仿宋_GB2312" w:eastAsia="仿宋_GB2312"/>
        </w:rPr>
        <w:t>委托，拟对</w:t>
      </w:r>
      <w:r>
        <w:rPr>
          <w:rFonts w:ascii="仿宋_GB2312" w:hAnsi="仿宋_GB2312" w:cs="仿宋_GB2312" w:eastAsia="仿宋_GB2312"/>
        </w:rPr>
        <w:t>校舍修缮改造项目设计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SXSL－2025－47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校舍修缮改造项目设计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商洛市小学校舍修缮改造项目设计主要包括室内外改造设计、电气改造设计、系统设计、地形图测绘等内容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采购包1（校舍修缮改造项目设计）：属于专门面向中小企业采购。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1、资质要求：具备建筑行业（建筑工程）专业设计乙级及以上资质，项目负责人须具备二级建筑师资格。以资质证书、项目负责人证书为准。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商洛市商州区西关150号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18991435000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陕西上洛管理咨询有限公司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商洛市商州区黄沙桥交投公司6楼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杨万青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15229547755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采购包1：865,800.00元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报酬依据国家计委2002年1980号文件及国家发改价格【2011】534号文件以及陕价行发【2014】88号文件规定计取费标准计算。代理服务费由中标单位领取中标通知书前以转账或现金形式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商洛市小学</w:t>
      </w:r>
      <w:r>
        <w:rPr>
          <w:rFonts w:ascii="仿宋_GB2312" w:hAnsi="仿宋_GB2312" w:cs="仿宋_GB2312" w:eastAsia="仿宋_GB2312"/>
        </w:rPr>
        <w:t>和</w:t>
      </w:r>
      <w:r>
        <w:rPr>
          <w:rFonts w:ascii="仿宋_GB2312" w:hAnsi="仿宋_GB2312" w:cs="仿宋_GB2312" w:eastAsia="仿宋_GB2312"/>
        </w:rPr>
        <w:t>陕西上洛管理咨询有限公司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陕西上洛管理咨询有限公司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陕西上洛管理咨询有限公司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本项目招标文件的需求与技术规格部分；供应商投标文件（承诺）及双方签订的合同；相关的国家、行业强制性标准与规范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陕西上洛管理咨询有限公司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联系人：杨万青</w:t>
      </w:r>
    </w:p>
    <w:p>
      <w:pPr>
        <w:pStyle w:val="null3"/>
      </w:pPr>
      <w:r>
        <w:rPr>
          <w:rFonts w:ascii="仿宋_GB2312" w:hAnsi="仿宋_GB2312" w:cs="仿宋_GB2312" w:eastAsia="仿宋_GB2312"/>
        </w:rPr>
        <w:t>联系电话：15229547755</w:t>
      </w:r>
    </w:p>
    <w:p>
      <w:pPr>
        <w:pStyle w:val="null3"/>
      </w:pPr>
      <w:r>
        <w:rPr>
          <w:rFonts w:ascii="仿宋_GB2312" w:hAnsi="仿宋_GB2312" w:cs="仿宋_GB2312" w:eastAsia="仿宋_GB2312"/>
        </w:rPr>
        <w:t>地址：商洛市商州区黄沙桥交投公司6楼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本次项目包括室内外改造设计、电气改造设计、系统设计、地形图测绘等内容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865,800.00</w:t>
      </w:r>
    </w:p>
    <w:p>
      <w:pPr>
        <w:pStyle w:val="null3"/>
      </w:pPr>
      <w:r>
        <w:rPr>
          <w:rFonts w:ascii="仿宋_GB2312" w:hAnsi="仿宋_GB2312" w:cs="仿宋_GB2312" w:eastAsia="仿宋_GB2312"/>
        </w:rPr>
        <w:t>采购包最高限价（元）: 865,800.00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商洛市小学校舍修缮改造项目设计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865,800.00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标的名称：商洛市小学校舍修缮改造项目设计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105" w:right="135"/>
            </w:pPr>
            <w:r>
              <w:rPr>
                <w:rFonts w:ascii="仿宋_GB2312" w:hAnsi="仿宋_GB2312" w:cs="仿宋_GB2312" w:eastAsia="仿宋_GB2312"/>
                <w:sz w:val="21"/>
              </w:rPr>
              <w:t>设计质量满足国家现行的工程建设勘察设计方面的规范、规程、标准及城市建设部门的有关规定，设计质量标准合格。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项目负责人具备二级建筑师资格，其他人员按需配备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陕西省商洛市商州区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验收以确保师生安全和合规合法为核心，以取得《施工图审查合格书》为关键准入门槛。验收时，需组织多方通过‘文件审查’和‘专题评审’的方法，重点核查结构安全与消防设计的合规性、设计文件的完整性与深度，并通过‘现场复核’确保设计方案与现状条件匹配，最终形成书面验收结论。</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提交设计图纸及测绘结果并经图审合格后支付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项目实施完成并经竣工验收后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具备建筑行业（建筑工程）专业设计乙级及以上资质，项目负责人须具备二级建筑师资格。以资质证书、项目负责人证书为准。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投标文件初步审查</w:t>
            </w:r>
          </w:p>
        </w:tc>
        <w:tc>
          <w:tcPr>
            <w:tcW w:type="dxa" w:w="3322"/>
          </w:tcPr>
          <w:p>
            <w:pPr>
              <w:pStyle w:val="null3"/>
            </w:pPr>
            <w:r>
              <w:rPr>
                <w:rFonts w:ascii="仿宋_GB2312" w:hAnsi="仿宋_GB2312" w:cs="仿宋_GB2312" w:eastAsia="仿宋_GB2312"/>
              </w:rPr>
              <w:t>依据招标文件规定，从招标文件的有效性、完整性和对响应文件的响应程度进行审查。出现下列情况之一者（但不限于），不得进入最终评审环节：（1）供应商的投标报价超过采购预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6）不符合法律、法规和招标文件中规定的其他实质性要求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项目技术人员配备情况</w:t>
            </w:r>
          </w:p>
        </w:tc>
        <w:tc>
          <w:tcPr>
            <w:tcW w:type="dxa" w:w="2492"/>
          </w:tcPr>
          <w:p>
            <w:pPr>
              <w:pStyle w:val="null3"/>
            </w:pPr>
            <w:r>
              <w:rPr>
                <w:rFonts w:ascii="仿宋_GB2312" w:hAnsi="仿宋_GB2312" w:cs="仿宋_GB2312" w:eastAsia="仿宋_GB2312"/>
              </w:rPr>
              <w:t>除项目负责人外，其他技术人员配备每增加1人加2分，最高加10分。（提供身份证、职称证或资格证书等相关资料）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供应商自2020年1月至今，具有1项类似项目业绩得10分；每增加1项类似项目业绩加10分（提供合同复印件或中标通知书复印件加盖单位公章，类似业绩指房建设计或房建改建设计业绩），本项最多得20分。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设计方案编制内容综合评定及针对本项目的工作思路、项目的认识、技术方法</w:t>
            </w:r>
          </w:p>
        </w:tc>
        <w:tc>
          <w:tcPr>
            <w:tcW w:type="dxa" w:w="2492"/>
          </w:tcPr>
          <w:p>
            <w:pPr>
              <w:pStyle w:val="null3"/>
            </w:pPr>
            <w:r>
              <w:rPr>
                <w:rFonts w:ascii="仿宋_GB2312" w:hAnsi="仿宋_GB2312" w:cs="仿宋_GB2312" w:eastAsia="仿宋_GB2312"/>
              </w:rPr>
              <w:t>设计方案内容包含针对本项目的工作思路、项目的认识、技术方法；项目重点难点分析、关键技术问题把握；对本项目服务的实施建议、后续服务及承诺；工作计划，得9分，以上内容每缺1项扣3分（9分扣完为止）。 设计方案内容完整，针对项目实际情况有具体的分析阐述，有对本项目的充分理解及细化分析，可操作性强、能全面高效地完成本项目，技术方法先进，具有合理性，可行性，思路清晰，工作计划可行，加6分； 设计方案基本完整，技术方法正确，工作思路及对本项目的认知、工作计划基本合理，加4分； 服务方案内容有部分缺失，工作思路不清，工作计划内容不完善，加2分； 服务方案内容缺失较多，工作思路、项目的认识、技术方法错误严重或对项目理解不正确，加0分。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项目重点难点分析、关键技术问题把握</w:t>
            </w:r>
          </w:p>
        </w:tc>
        <w:tc>
          <w:tcPr>
            <w:tcW w:type="dxa" w:w="2492"/>
          </w:tcPr>
          <w:p>
            <w:pPr>
              <w:pStyle w:val="null3"/>
            </w:pPr>
            <w:r>
              <w:rPr>
                <w:rFonts w:ascii="仿宋_GB2312" w:hAnsi="仿宋_GB2312" w:cs="仿宋_GB2312" w:eastAsia="仿宋_GB2312"/>
              </w:rPr>
              <w:t>根据采购要求和响应情况，对供应商提供的项目重点难点分析、关键技术问题把握进行综合评定：内容包含本项目重点难点分析，对关键技术问题的解决方案，得9分，以上内容每缺1项扣3分（9分扣完为止）。 重点难点分析准确、关键技术问题把握到位、解决方案完整，内容齐全，分析合理，建议可行，加6分； 重点难点分析基本正确，关键技术问题把握基本合理，加4分； 重点难点分析未贴合项目实际情况进行论述、关键技术问题未包括具体实施细节及解决措施，加2分； 项目重点难点分析思路错误，提供具体的解决方案不正确，加0分。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对本项目服务的实施建议、后续服务及承诺</w:t>
            </w:r>
          </w:p>
        </w:tc>
        <w:tc>
          <w:tcPr>
            <w:tcW w:type="dxa" w:w="2492"/>
          </w:tcPr>
          <w:p>
            <w:pPr>
              <w:pStyle w:val="null3"/>
            </w:pPr>
            <w:r>
              <w:rPr>
                <w:rFonts w:ascii="仿宋_GB2312" w:hAnsi="仿宋_GB2312" w:cs="仿宋_GB2312" w:eastAsia="仿宋_GB2312"/>
              </w:rPr>
              <w:t>根据采购要求和响应情况，对供应商提供的设计方案、后续服务及承诺进行综合评定：内容包含项目设计方案，后续服务方案、服务配合计划及服务承诺，得9分。以上内容每缺1项扣3分（9分扣完为止）。 服务实施方案完整，方案描述详细可行，后续服务方案完整，能针对本项目实际提供具体安排计划，有具体后续服务人员安排，服务承诺到位，可操作性强、能全面高效地完成本项目后续服务，加6分； 服务实施方案基本完整,后续服务方案基本可行，加4分； 服务实施方案完整性不足,后续服务方案保障措施不到位，加2分； 对本项目服务实施方案、后续服务及承诺与项目实际不符，提供的建议或承诺不正确，加0分。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w:t>
            </w:r>
          </w:p>
        </w:tc>
        <w:tc>
          <w:tcPr>
            <w:tcW w:type="dxa" w:w="2492"/>
          </w:tcPr>
          <w:p>
            <w:pPr>
              <w:pStyle w:val="null3"/>
            </w:pPr>
            <w:r>
              <w:rPr>
                <w:rFonts w:ascii="仿宋_GB2312" w:hAnsi="仿宋_GB2312" w:cs="仿宋_GB2312" w:eastAsia="仿宋_GB2312"/>
              </w:rPr>
              <w:t>根据采购要求和响应情况，对供应商提供的工作计划进行综合评定：内容包含工作流程，各阶段工作内容及服务期节点，得9分。以上内容每缺1项扣3分（9分扣完为止）。 工作流程符合实际情况，条理清晰，各阶段工作内容及工期节点描述详细完整，安排得当，可操作性强、能全面高效地确保工作进度，加6分； 工作流程基本符合实际情况，条理清晰，各阶段工作内容及工期节点描述基本完整，加4分； 工作流程不完整，有漏项，各阶段工作内容及工期节点描述完整性不足，加2分； 工作流程不符合实际，各阶段工作内容及工期节点描述不完整，加0分。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经初步审查合格的投标文件，满足招标文件要求且报价最低的供应商的价格为基准价，其价格分为满分。其他供应商的价格分统一按照下列公式计算： 报价得分=（基准价/报价）×10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