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版本号：SLHRC-2025-6620251031001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商洛市质检计量特设实验室配电改造项目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SLHRC-2025-66</w:t>
      </w:r>
      <w:r>
        <w:br/>
      </w:r>
      <w:r>
        <w:br/>
      </w:r>
      <w:r>
        <w:br/>
      </w:r>
    </w:p>
    <w:p>
      <w:pPr>
        <w:pStyle w:val="null3"/>
        <w:jc w:val="center"/>
        <w:outlineLvl w:val="2"/>
      </w:pPr>
      <w:r>
        <w:rPr>
          <w:rFonts w:ascii="仿宋_GB2312" w:hAnsi="仿宋_GB2312" w:cs="仿宋_GB2312" w:eastAsia="仿宋_GB2312"/>
          <w:sz w:val="28"/>
          <w:b/>
        </w:rPr>
        <w:t>商洛市市场监督管理局</w:t>
      </w:r>
    </w:p>
    <w:p>
      <w:pPr>
        <w:pStyle w:val="null3"/>
        <w:jc w:val="center"/>
        <w:outlineLvl w:val="2"/>
      </w:pPr>
      <w:r>
        <w:rPr>
          <w:rFonts w:ascii="仿宋_GB2312" w:hAnsi="仿宋_GB2312" w:cs="仿宋_GB2312" w:eastAsia="仿宋_GB2312"/>
          <w:sz w:val="28"/>
          <w:b/>
        </w:rPr>
        <w:t>商洛华瑞诚项目管理咨询有限公司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商洛华瑞诚项目管理咨询有限公司</w:t>
      </w:r>
      <w:r>
        <w:rPr>
          <w:rFonts w:ascii="仿宋_GB2312" w:hAnsi="仿宋_GB2312" w:cs="仿宋_GB2312" w:eastAsia="仿宋_GB2312"/>
        </w:rPr>
        <w:t>（以下简称“代理机构”）受</w:t>
      </w:r>
      <w:r>
        <w:rPr>
          <w:rFonts w:ascii="仿宋_GB2312" w:hAnsi="仿宋_GB2312" w:cs="仿宋_GB2312" w:eastAsia="仿宋_GB2312"/>
        </w:rPr>
        <w:t>商洛市市场监督管理局</w:t>
      </w:r>
      <w:r>
        <w:rPr>
          <w:rFonts w:ascii="仿宋_GB2312" w:hAnsi="仿宋_GB2312" w:cs="仿宋_GB2312" w:eastAsia="仿宋_GB2312"/>
        </w:rPr>
        <w:t>委托，拟对</w:t>
      </w:r>
      <w:r>
        <w:rPr>
          <w:rFonts w:ascii="仿宋_GB2312" w:hAnsi="仿宋_GB2312" w:cs="仿宋_GB2312" w:eastAsia="仿宋_GB2312"/>
        </w:rPr>
        <w:t>商洛市质检计量特设实验室配电改造项目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SLHRC-2025-66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商洛市质检计量特设实验室配电改造项目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商洛市计量质检特设实验室设计时未包含实验室供电设施，为保障实验室供电需求，现需为实验室安装配套供电设施。具体详见磋商文件及工程量清单。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采购包1（商洛市质检计量特设实验室配电改造项目）：属于专门面向小微企业采购。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2、财务状况报告：供应商提供2024年的财务审计报告（成立时间至投标截止时间不足一年的可提供成立后任意时段的资产负债表），或其开标前三个月内基本开户银行出具的资信证明及基本存款账户信息。</w:t>
      </w:r>
    </w:p>
    <w:p>
      <w:pPr>
        <w:pStyle w:val="null3"/>
      </w:pPr>
      <w:r>
        <w:rPr>
          <w:rFonts w:ascii="仿宋_GB2312" w:hAnsi="仿宋_GB2312" w:cs="仿宋_GB2312" w:eastAsia="仿宋_GB2312"/>
        </w:rPr>
        <w:t>3、税收缴纳证明：提供投标截止日前半年内已缴纳任意1个月的纳税证明或完税证明（任意税种），依法免税的单位应提供相关的证明材料。</w:t>
      </w:r>
    </w:p>
    <w:p>
      <w:pPr>
        <w:pStyle w:val="null3"/>
      </w:pPr>
      <w:r>
        <w:rPr>
          <w:rFonts w:ascii="仿宋_GB2312" w:hAnsi="仿宋_GB2312" w:cs="仿宋_GB2312" w:eastAsia="仿宋_GB2312"/>
        </w:rPr>
        <w:t>4、社会保障资金缴纳证明：提供投标截止日前半年内已缴存的任意1个月的社会保障资金缴存单据或社保机构开具的社会保险参保缴费情况证明；依法不需要缴纳社会保障资金的单位应提供相关证明材料。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5、书面声明：参加政府采购活动近三年内，在经营活动中无重大违法记录的书面声明。</w:t>
      </w:r>
    </w:p>
    <w:p>
      <w:pPr>
        <w:pStyle w:val="null3"/>
      </w:pPr>
      <w:r>
        <w:rPr>
          <w:rFonts w:ascii="仿宋_GB2312" w:hAnsi="仿宋_GB2312" w:cs="仿宋_GB2312" w:eastAsia="仿宋_GB2312"/>
        </w:rPr>
        <w:t>6、履约承诺：提供具有履行合同所必需的设备和专业技术能力的承诺函。</w:t>
      </w:r>
    </w:p>
    <w:p>
      <w:pPr>
        <w:pStyle w:val="null3"/>
      </w:pPr>
      <w:r>
        <w:rPr>
          <w:rFonts w:ascii="仿宋_GB2312" w:hAnsi="仿宋_GB2312" w:cs="仿宋_GB2312" w:eastAsia="仿宋_GB2312"/>
        </w:rPr>
        <w:t>7、信誉要求：提供《供应商信用记录书面声明函》（按格式填写，提供原件）。投标人未被列入“信用中国”网站记录的“失信被执行人”“重大税收违法案件当事人”名单；不处于“中国政府采购网”记录的“政府采购严重违法失信行为记录名单”中的禁止参加政府采购活动期间；供应商不得在各级诚信信息平台被列为投标受限制的行为人。（以承诺书为准，格式自拟）</w:t>
      </w:r>
    </w:p>
    <w:p>
      <w:pPr>
        <w:pStyle w:val="null3"/>
      </w:pPr>
      <w:r>
        <w:rPr>
          <w:rFonts w:ascii="仿宋_GB2312" w:hAnsi="仿宋_GB2312" w:cs="仿宋_GB2312" w:eastAsia="仿宋_GB2312"/>
        </w:rPr>
        <w:t>8、授权书：法定代表人授权书及被授权人身份证明。（法定代表人直接参与投标只需提供其身份证明）</w:t>
      </w:r>
    </w:p>
    <w:p>
      <w:pPr>
        <w:pStyle w:val="null3"/>
      </w:pPr>
      <w:r>
        <w:rPr>
          <w:rFonts w:ascii="仿宋_GB2312" w:hAnsi="仿宋_GB2312" w:cs="仿宋_GB2312" w:eastAsia="仿宋_GB2312"/>
        </w:rPr>
        <w:t>9、供应商资质要求：供应商须具备建设行政主管部门颁发的电力工程施工总承包三级及以上资质或机电工程施工总承包三级及以上资质，且同时具备《承装（修、试）电力设施许可证四级及以上资质，并具有有效的安全生产许可证。</w:t>
      </w:r>
    </w:p>
    <w:p>
      <w:pPr>
        <w:pStyle w:val="null3"/>
      </w:pPr>
      <w:r>
        <w:rPr>
          <w:rFonts w:ascii="仿宋_GB2312" w:hAnsi="仿宋_GB2312" w:cs="仿宋_GB2312" w:eastAsia="仿宋_GB2312"/>
        </w:rPr>
        <w:t>10、项目经理资格和专业要求：拟派项目经理具备机电工程专业二级及以上注册建造师证书，及有效的安全生产考核合格证（建安B证），且未担任其他在建工程项目的项目经理。（提供承诺书）</w:t>
      </w:r>
    </w:p>
    <w:p>
      <w:pPr>
        <w:pStyle w:val="null3"/>
      </w:pPr>
      <w:r>
        <w:rPr>
          <w:rFonts w:ascii="仿宋_GB2312" w:hAnsi="仿宋_GB2312" w:cs="仿宋_GB2312" w:eastAsia="仿宋_GB2312"/>
        </w:rPr>
        <w:t>11、非联合体声明：本项目不接受联合体投标，不允许分包。供应商应提供《非联合体不分包投标声明》，视为独立投标，不分包。</w:t>
      </w:r>
    </w:p>
    <w:p>
      <w:pPr>
        <w:pStyle w:val="null3"/>
      </w:pPr>
      <w:r>
        <w:rPr>
          <w:rFonts w:ascii="仿宋_GB2312" w:hAnsi="仿宋_GB2312" w:cs="仿宋_GB2312" w:eastAsia="仿宋_GB2312"/>
        </w:rPr>
        <w:t>12、控股管理关系：单位负责人为同一人或者存在直接控股、管理关系的不同投标人，不得参加同一合同项下的政府采购活动。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商洛市江滨大道西段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0914--2993025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商洛华瑞诚项目管理咨询有限公司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商洛市商州区全兴紫苑六号楼一单元101室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郭文博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13098221030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采购包1：644,437.82元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开户名称：商洛华瑞诚项目管理咨询有限公司</w:t>
            </w:r>
          </w:p>
          <w:p>
            <w:pPr>
              <w:pStyle w:val="null3"/>
            </w:pPr>
            <w:r>
              <w:rPr>
                <w:rFonts w:ascii="仿宋_GB2312" w:hAnsi="仿宋_GB2312" w:cs="仿宋_GB2312" w:eastAsia="仿宋_GB2312"/>
              </w:rPr>
              <w:t>开户银行：长安银行股份有限公司商洛分行</w:t>
            </w:r>
          </w:p>
          <w:p>
            <w:pPr>
              <w:pStyle w:val="null3"/>
            </w:pPr>
            <w:r>
              <w:rPr>
                <w:rFonts w:ascii="仿宋_GB2312" w:hAnsi="仿宋_GB2312" w:cs="仿宋_GB2312" w:eastAsia="仿宋_GB2312"/>
              </w:rPr>
              <w:t>银行账号：8060 9000 1421 0067 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调整后的招标代理服务收费标准》(发改价格〔2011〕534号)的规定标准收取，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商洛市市场监督管理局</w:t>
      </w:r>
      <w:r>
        <w:rPr>
          <w:rFonts w:ascii="仿宋_GB2312" w:hAnsi="仿宋_GB2312" w:cs="仿宋_GB2312" w:eastAsia="仿宋_GB2312"/>
        </w:rPr>
        <w:t>和</w:t>
      </w:r>
      <w:r>
        <w:rPr>
          <w:rFonts w:ascii="仿宋_GB2312" w:hAnsi="仿宋_GB2312" w:cs="仿宋_GB2312" w:eastAsia="仿宋_GB2312"/>
        </w:rPr>
        <w:t>商洛华瑞诚项目管理咨询有限公司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商洛华瑞诚项目管理咨询有限公司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商洛华瑞诚项目管理咨询有限公司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商洛华瑞诚项目管理咨询有限公司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商洛华瑞诚项目管理咨询有限公司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商洛华瑞诚项目管理咨询有限公司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联系人：郭文博</w:t>
      </w:r>
    </w:p>
    <w:p>
      <w:pPr>
        <w:pStyle w:val="null3"/>
      </w:pPr>
      <w:r>
        <w:rPr>
          <w:rFonts w:ascii="仿宋_GB2312" w:hAnsi="仿宋_GB2312" w:cs="仿宋_GB2312" w:eastAsia="仿宋_GB2312"/>
        </w:rPr>
        <w:t>联系电话：13098221030</w:t>
      </w:r>
    </w:p>
    <w:p>
      <w:pPr>
        <w:pStyle w:val="null3"/>
      </w:pPr>
      <w:r>
        <w:rPr>
          <w:rFonts w:ascii="仿宋_GB2312" w:hAnsi="仿宋_GB2312" w:cs="仿宋_GB2312" w:eastAsia="仿宋_GB2312"/>
        </w:rPr>
        <w:t>地址：商洛市商州区全兴紫苑六号楼一单元101室</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644,437.82</w:t>
      </w:r>
    </w:p>
    <w:p>
      <w:pPr>
        <w:pStyle w:val="null3"/>
      </w:pPr>
      <w:r>
        <w:rPr>
          <w:rFonts w:ascii="仿宋_GB2312" w:hAnsi="仿宋_GB2312" w:cs="仿宋_GB2312" w:eastAsia="仿宋_GB2312"/>
        </w:rPr>
        <w:t>采购包最高限价（元）: 644,437.82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供电设施安装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644,437.82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标的名称：供电设施安装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具体详见电子招标书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符合国家质量标准：合格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（1）工期：30日历天。（2）付款方式：施工完毕且经甲方验收合格后，自满足该付款条件之日起 10 日内，支付合同总金额的97.00%；质保期满后，自满足该付款条件之日起10日内，支付合同总金额的3.00%。（3）质保期：项目整体验收合格后2年。（4）响应文件要求：投标时供应商无需提供纸质版响应文件。成交供应商在领取成交通知书前，须将纸质版响应文件（正本1份、副本2份）及电子版（U盘）文件1份打印并加盖单位公章，提交至招标代理公司，供采购人留存备案等工作。成交供应商应保持响应文件纸质版内容与电子版内容完全一致，否则将承担一切法律责任。纸质版响应文件一律采用书籍（胶装）方式装订，可单面或双面打印。（5）开标签到要求：供应商务必在开标截止时间30分钟前，通过项目电子化交易系统进行签到；未按要求签到的，由此产生的一切后果由供应商自行承担。（6）计价方式：计价方式采用广联达云计价平台GCCP7.0软件中的清单计价模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其投标前三个月内基本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供应商提供2024年的财务审计报告（成立时间至投标截止时间不足一年的可提供成立后任意时段的资产负债表），或其开标前三个月内基本开户银行出具的资信证明及基本存款账户信息。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提供投标截止日前半年内已缴纳任意1个月的纳税证明或完税证明（任意税种），依法免税的单位应提供相关的证明材料。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提供投标截止日前半年内已缴存的任意1个月的社会保障资金缴存单据或社保机构开具的社会保险参保缴费情况证明；依法不需要缴纳社会保障资金的单位应提供相关证明材料。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参加政府采购活动近三年内，在经营活动中无重大违法记录的书面声明。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提供《供应商信用记录书面声明函》（按格式填写，提供原件）。投标人未被列入“信用中国”网站记录的“失信被执行人”“重大税收违法案件当事人”名单；不处于“中国政府采购网”记录的“政府采购严重违法失信行为记录名单”中的禁止参加政府采购活动期间；供应商不得在各级诚信信息平台被列为投标受限制的行为人。（以承诺书为准，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法定代表人授权书及被授权人身份证明。（法定代表人直接参与投标只需提供其身份证明）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供应商须具备建设行政主管部门颁发的电力工程施工总承包三级及以上资质或机电工程施工总承包三级及以上资质，且同时具备《承装（修、试）电力设施许可证四级及以上资质，并具有有效的安全生产许可证。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项目经理资格和专业要求</w:t>
            </w:r>
          </w:p>
        </w:tc>
        <w:tc>
          <w:tcPr>
            <w:tcW w:type="dxa" w:w="3322"/>
          </w:tcPr>
          <w:p>
            <w:pPr>
              <w:pStyle w:val="null3"/>
            </w:pPr>
            <w:r>
              <w:rPr>
                <w:rFonts w:ascii="仿宋_GB2312" w:hAnsi="仿宋_GB2312" w:cs="仿宋_GB2312" w:eastAsia="仿宋_GB2312"/>
              </w:rPr>
              <w:t>拟派项目经理具备机电工程专业二级及以上注册建造师证书，及有效的安全生产考核合格证（建安B证），且未担任其他在建工程项目的项目经理。（提供承诺书）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响应文件未按照磋商文件规定要求签署、盖章的；（2）磋商有效期未满足招标文件要求的；（3）报价超过磋商文件中规定的预算金额或者最高限价的；（4）对磋商文件商务、技术要求出现重大负偏离的；(5)法律、法规和磋商文件规定的其他无效情形。</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商务技术部分.docx 资格证明文件.docx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合理、可行、准确、完善、可操作性强，保证措施可靠计0-12分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全面、完整、周到、组织措施得力计0-6分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安全生产计划全面周到、完善、环节控制保障措施得力计0-6分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全面、完善、周到、环节控制保障措施得力计0-6分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合理、可行、准确、完整、可操作性强，保证措施可靠计0-5分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提供完善、合理、专业的团队人员，根据供应商提供人员的有效证件、业绩等证明材料计0-5分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拟投入的主要机具、设备充分、满足项目需要计0-5分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拟投入劳动力充分、满足项目需要计0-5分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根据供应商为保证工程质量所做的承诺及配套服务（包括但不限于具体的服务内容、响应时间、响应方式、响应计划、服务承诺等）进行综合比较计0-5分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投标人提供2022年1月至今类似项目业绩，业绩证明材料以投标文件中提供的合同复印件为准。每提供1份得1分，满分5分。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