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版本号：SLCG-JZXCS〔2025〕19号20251117001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商洛市交通警察支队移动警务通信息化服务合作采购项目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SLCG-JZXCS〔2025〕19号</w:t>
      </w:r>
      <w:r>
        <w:br/>
      </w:r>
      <w:r>
        <w:br/>
      </w:r>
      <w:r>
        <w:br/>
      </w:r>
    </w:p>
    <w:p>
      <w:pPr>
        <w:pStyle w:val="null3"/>
        <w:jc w:val="center"/>
        <w:outlineLvl w:val="2"/>
      </w:pPr>
      <w:r>
        <w:rPr>
          <w:rFonts w:ascii="仿宋_GB2312" w:hAnsi="仿宋_GB2312" w:cs="仿宋_GB2312" w:eastAsia="仿宋_GB2312"/>
          <w:sz w:val="28"/>
          <w:b/>
        </w:rPr>
        <w:t>商洛市公安局交通警察支队</w:t>
      </w:r>
    </w:p>
    <w:p>
      <w:pPr>
        <w:pStyle w:val="null3"/>
        <w:jc w:val="center"/>
        <w:outlineLvl w:val="2"/>
      </w:pPr>
      <w:r>
        <w:rPr>
          <w:rFonts w:ascii="仿宋_GB2312" w:hAnsi="仿宋_GB2312" w:cs="仿宋_GB2312" w:eastAsia="仿宋_GB2312"/>
          <w:sz w:val="28"/>
          <w:b/>
        </w:rPr>
        <w:t>商洛市政府采购中心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商洛市政府采购中心</w:t>
      </w:r>
      <w:r>
        <w:rPr>
          <w:rFonts w:ascii="仿宋_GB2312" w:hAnsi="仿宋_GB2312" w:cs="仿宋_GB2312" w:eastAsia="仿宋_GB2312"/>
        </w:rPr>
        <w:t>（以下简称“代理机构”）受</w:t>
      </w:r>
      <w:r>
        <w:rPr>
          <w:rFonts w:ascii="仿宋_GB2312" w:hAnsi="仿宋_GB2312" w:cs="仿宋_GB2312" w:eastAsia="仿宋_GB2312"/>
        </w:rPr>
        <w:t>商洛市公安局交通警察支队</w:t>
      </w:r>
      <w:r>
        <w:rPr>
          <w:rFonts w:ascii="仿宋_GB2312" w:hAnsi="仿宋_GB2312" w:cs="仿宋_GB2312" w:eastAsia="仿宋_GB2312"/>
        </w:rPr>
        <w:t>委托，拟对</w:t>
      </w:r>
      <w:r>
        <w:rPr>
          <w:rFonts w:ascii="仿宋_GB2312" w:hAnsi="仿宋_GB2312" w:cs="仿宋_GB2312" w:eastAsia="仿宋_GB2312"/>
        </w:rPr>
        <w:t>商洛市交通警察支队移动警务通信息化服务合作采购项目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SLCG-JZXCS〔2025〕19号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商洛市交通警察支队移动警务通信息化服务合作采购项目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公安局交通警察支队移动警务通信息化服务合作采购项目，是为满足新形势下商洛市公安局交通警察支队机关民警及高交民警开展移动办公、移动执法、即时通信、指挥调度等场景需求的移动警务应用和提供技术支撑、服务保障的采购项目。该项目属基础电信服务项目，总预算1,102,700元，服务期限2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合法有效：供应商须在中华人民共和国境内注册，依法取得并有效存续的营业执照（或事业单位法人证书/民办非企业单位登记证书/非企业专业服务机构执业许可证等）。供应商须在项目电子化采购系统中提交企业类型证书原件的扫描件，并完成电子签章。</w:t>
      </w:r>
    </w:p>
    <w:p>
      <w:pPr>
        <w:pStyle w:val="null3"/>
      </w:pPr>
      <w:r>
        <w:rPr>
          <w:rFonts w:ascii="仿宋_GB2312" w:hAnsi="仿宋_GB2312" w:cs="仿宋_GB2312" w:eastAsia="仿宋_GB2312"/>
        </w:rPr>
        <w:t>2、具有良好的财务状况：供应商须具有良好的财务状况，并须在项目电子化交易系统中提交具有良好财务状况的承诺函，且承诺财务状况良好，并完成电子签章。</w:t>
      </w:r>
    </w:p>
    <w:p>
      <w:pPr>
        <w:pStyle w:val="null3"/>
      </w:pPr>
      <w:r>
        <w:rPr>
          <w:rFonts w:ascii="仿宋_GB2312" w:hAnsi="仿宋_GB2312" w:cs="仿宋_GB2312" w:eastAsia="仿宋_GB2312"/>
        </w:rPr>
        <w:t>3、具有良好的税收缴纳记录：供应商须具有良好的税收缴纳记录，并须在项目电子化交易系统中提交具有良好税收缴纳记录的承诺函，且承诺税收缴纳记录良好，并完成电子签章。</w:t>
      </w:r>
    </w:p>
    <w:p>
      <w:pPr>
        <w:pStyle w:val="null3"/>
      </w:pPr>
      <w:r>
        <w:rPr>
          <w:rFonts w:ascii="仿宋_GB2312" w:hAnsi="仿宋_GB2312" w:cs="仿宋_GB2312" w:eastAsia="仿宋_GB2312"/>
        </w:rPr>
        <w:t>4、具有良好的社会保障资金缴纳记录：供应商须具有良好的社会保障资金缴纳记录，并须在项目电子化交易系统中提交具有良好的社会保障资金缴纳记录的承诺函，且承诺社会保障资金缴纳记录良好，并完成电子签章。</w:t>
      </w:r>
    </w:p>
    <w:p>
      <w:pPr>
        <w:pStyle w:val="null3"/>
      </w:pPr>
      <w:r>
        <w:rPr>
          <w:rFonts w:ascii="仿宋_GB2312" w:hAnsi="仿宋_GB2312" w:cs="仿宋_GB2312" w:eastAsia="仿宋_GB2312"/>
        </w:rPr>
        <w:t>5、近三年内在经营活动中无重大违法记录：供应商近三年内在经营活动中须无重大违法记录，并须在项目电子化交易系统中提交近三年内在经营活动中无重大违法记录声明函，且近三年内在经营活动中无重大违法记录，并完成电子签章。</w:t>
      </w:r>
    </w:p>
    <w:p>
      <w:pPr>
        <w:pStyle w:val="null3"/>
      </w:pPr>
      <w:r>
        <w:rPr>
          <w:rFonts w:ascii="仿宋_GB2312" w:hAnsi="仿宋_GB2312" w:cs="仿宋_GB2312" w:eastAsia="仿宋_GB2312"/>
        </w:rPr>
        <w:t>6、法定代表人（负责人）授权书合法有效：（一）供应商参加本项目磋商采购活动，法定代表人（负责人）委托授权书须合法有效。 （二）供应商须在陕西省政府采购电子化交易系统中上传法定代表人（负责人）委托授权书原件的扫描件，并进行电子签章。</w:t>
      </w:r>
    </w:p>
    <w:p>
      <w:pPr>
        <w:pStyle w:val="null3"/>
      </w:pPr>
      <w:r>
        <w:rPr>
          <w:rFonts w:ascii="仿宋_GB2312" w:hAnsi="仿宋_GB2312" w:cs="仿宋_GB2312" w:eastAsia="仿宋_GB2312"/>
        </w:rPr>
        <w:t>7、单位负责人为同一人或者存在直接控股、管理关系的不同供应商，不得同时参加本项目同一合同项下政府采购活动：单位负责人为同一人或者存在直接控股、管理关系的不同供应商，不得同时参加本项目同一合同项下政府采购活动。供应商须在项目电子化交易系统中提交“单位负责人为同一人或者存在直接控股、管理关系的不同供应商，不得同时参加本项目同一合同项下的政府采购活动的承诺书”原件的扫描件，并完成电子签章。</w:t>
      </w:r>
    </w:p>
    <w:p>
      <w:pPr>
        <w:pStyle w:val="null3"/>
      </w:pPr>
      <w:r>
        <w:rPr>
          <w:rFonts w:ascii="仿宋_GB2312" w:hAnsi="仿宋_GB2312" w:cs="仿宋_GB2312" w:eastAsia="仿宋_GB2312"/>
        </w:rPr>
        <w:t>8、非联合体不分包响应声明：本项目不接受联合体响应，供应商须以一个独立的法人实体参加响应。供应商须在项目电子化交易系统中提交“非联合体不分包响应声明函”原件的扫描件，并完成电子签章。</w:t>
      </w:r>
    </w:p>
    <w:p>
      <w:pPr>
        <w:pStyle w:val="null3"/>
      </w:pPr>
      <w:r>
        <w:rPr>
          <w:rFonts w:ascii="仿宋_GB2312" w:hAnsi="仿宋_GB2312" w:cs="仿宋_GB2312" w:eastAsia="仿宋_GB2312"/>
        </w:rPr>
        <w:t>9、信用记录查询证明：供应商未被信用中国网站（http://www.creditchina.gov.cn）列入信用记录失信被执行人、重大税收违法案件当事人名单，未被中国政府采购网（http://www.ccgp.gov.cn）列为政府采购严重违法失信行为记录名单、未被禁止参加政府采购活动。供应商须在项目电子化交易系统中提交在信用中国网站、中国政府采购网的信用记录查询截图（标注查询日期），并完成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商洛市公安局交通警察支队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商洛市商州区构峪口西800米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惠福祥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0914-2380777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商洛市政府采购中心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陕西省商洛市商州区商州区工农路12号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侯小斌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0914-2318823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《财政部、发展改革委、生态环境部、市场监管总局关于调整优化节能产品环境标志产品政府采购执行机制的通知》（财政部财库〔2019〕9号）</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《节能产品政府采购实施意见》（财政部财库〔2004〕185号）</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《环境标志产品政府采购实施的意见》（财政部财库〔2006〕90号）</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商洛市公安局交通警察支队</w:t>
      </w:r>
      <w:r>
        <w:rPr>
          <w:rFonts w:ascii="仿宋_GB2312" w:hAnsi="仿宋_GB2312" w:cs="仿宋_GB2312" w:eastAsia="仿宋_GB2312"/>
        </w:rPr>
        <w:t>和</w:t>
      </w:r>
      <w:r>
        <w:rPr>
          <w:rFonts w:ascii="仿宋_GB2312" w:hAnsi="仿宋_GB2312" w:cs="仿宋_GB2312" w:eastAsia="仿宋_GB2312"/>
        </w:rPr>
        <w:t>商洛市政府采购中心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商洛市公安局交通警察支队</w:t>
      </w:r>
      <w:r>
        <w:rPr>
          <w:rFonts w:ascii="仿宋_GB2312" w:hAnsi="仿宋_GB2312" w:cs="仿宋_GB2312" w:eastAsia="仿宋_GB2312"/>
        </w:rPr>
        <w:t>负责解释。除上述磋商文件内容，其他内容由</w:t>
      </w:r>
      <w:r>
        <w:rPr>
          <w:rFonts w:ascii="仿宋_GB2312" w:hAnsi="仿宋_GB2312" w:cs="仿宋_GB2312" w:eastAsia="仿宋_GB2312"/>
        </w:rPr>
        <w:t>商洛市政府采购中心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商洛市公安局交通警察支队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国家或者行业相应的标准和本合同规定进行验收。项目供货调试到位，达到使用条件时，由乙方出具验收申请，经甲方同意，由甲方组织乙方和有关技术专家组成验收小组对项目进行完工验收；验收合格的，交接项目实施的全部资料，并填写政府采购项目验收报告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商洛市公安局交通警察支队</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商洛市政府采购中心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商洛市政府采购中心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联系人：惠福祥</w:t>
      </w:r>
    </w:p>
    <w:p>
      <w:pPr>
        <w:pStyle w:val="null3"/>
      </w:pPr>
      <w:r>
        <w:rPr>
          <w:rFonts w:ascii="仿宋_GB2312" w:hAnsi="仿宋_GB2312" w:cs="仿宋_GB2312" w:eastAsia="仿宋_GB2312"/>
        </w:rPr>
        <w:t>联系电话：0914-2380777</w:t>
      </w:r>
    </w:p>
    <w:p>
      <w:pPr>
        <w:pStyle w:val="null3"/>
      </w:pPr>
      <w:r>
        <w:rPr>
          <w:rFonts w:ascii="仿宋_GB2312" w:hAnsi="仿宋_GB2312" w:cs="仿宋_GB2312" w:eastAsia="仿宋_GB2312"/>
        </w:rPr>
        <w:t>地址：商洛市商州区构峪口西800米</w:t>
      </w:r>
    </w:p>
    <w:p>
      <w:pPr>
        <w:pStyle w:val="null3"/>
      </w:pPr>
      <w:r>
        <w:rPr>
          <w:rFonts w:ascii="仿宋_GB2312" w:hAnsi="仿宋_GB2312" w:cs="仿宋_GB2312" w:eastAsia="仿宋_GB2312"/>
        </w:rPr>
        <w:t>邮编：726000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联系人：侯小斌</w:t>
      </w:r>
    </w:p>
    <w:p>
      <w:pPr>
        <w:pStyle w:val="null3"/>
      </w:pPr>
      <w:r>
        <w:rPr>
          <w:rFonts w:ascii="仿宋_GB2312" w:hAnsi="仿宋_GB2312" w:cs="仿宋_GB2312" w:eastAsia="仿宋_GB2312"/>
        </w:rPr>
        <w:t>联系电话：0914-2318823</w:t>
      </w:r>
    </w:p>
    <w:p>
      <w:pPr>
        <w:pStyle w:val="null3"/>
      </w:pPr>
      <w:r>
        <w:rPr>
          <w:rFonts w:ascii="仿宋_GB2312" w:hAnsi="仿宋_GB2312" w:cs="仿宋_GB2312" w:eastAsia="仿宋_GB2312"/>
        </w:rPr>
        <w:t>地址：商洛市商州区工农路12号</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公安局交通警察支队移动警务通信息化服务合作采购项目，是为满足新形势下商洛市公安局交通警察支队机关民警及高交民警开展移动办公、移动执法、即时通信、指挥调度等场景需求的移动警务应用和提供技术支撑、服务保障的采购项目。该项目属基础电信服务项目，总预算1102700元，服务期限2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1,102,700.00</w:t>
      </w:r>
    </w:p>
    <w:p>
      <w:pPr>
        <w:pStyle w:val="null3"/>
      </w:pPr>
      <w:r>
        <w:rPr>
          <w:rFonts w:ascii="仿宋_GB2312" w:hAnsi="仿宋_GB2312" w:cs="仿宋_GB2312" w:eastAsia="仿宋_GB2312"/>
        </w:rPr>
        <w:t>采购包最高限价（元）: 1,102,700.00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商洛市公安局交通警察支队移动警务通信息化服务合作采购项目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1,102,700.00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标的名称：商洛市公安局交通警察支队移动警务通信息化服务合作采购项目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警务系统通信服务：每月提供≥2000分钟国内时长语音接入，每月提供≥150GB国内流量接入，每月提供≥150条短信，提供一条不低于千兆互联网服务，提供加密通讯服务。 数量：118</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1.具有双模式功能，一个为安全工作（专网）模式，一个为互联网模式； 2.各模式独立运行，可相互切换；各模式分别有独立的、差异化的人机交互界面，包括但不限于系统桌面、状态栏、快捷面板、锁屏、安装应用界面； 3.各模式分别有独立的文件系统且彼此隔离，不能互相访问； 4.各模式下的数据彼此隔离，不能互相访问； 5.各模式下存储区应彼此隔离，不能互相访问； 6.各模式支持独立设置解锁指纹和解锁密码； 7.系统支持防 root； 8.某一个系统瘫痪不会影响另一个系统的正常运行； 9.电话：各模式都能接电话，当前在哪个模式接电话通话记录保存在哪个模式下，数据相互独立存储，相互不能访问； 10.短信息：各模式都能收发短信，当前在哪个模式收发信息就保存在哪个模式下；数据相互独立存储，相互不能访问； 11.通讯录：各模式下分别有自己的通信录，通讯录数据相互独立，不能相互访问。 12.个人模式与工作模式可以连接不同的APN或VPDN节点，个人模式连接互联网，工作模式通过运营商APN或VPDN网络连接公安专用网络； 13.VPDN进入工作模式时，后台自动拨号连接，用户无感知； 14.可通过预制WLAN功能策略或管控接口配置，禁用WLAN，禁止连接无线局域网、开启热点、相互连接； 15.在接入数据专网时，支持IPSec或SSL/TLS VPN客户端安装运行，基于数字证书实现网络身份验证； 16.不能通过蓝牙、NFC等外围接口进行模式之间数据摆渡； 17.不能通过外接存储设备进行模式之间数据摆渡； 18.支持基于芯片集成安全模块的警务通加解密服务，并实现证书远程管理功能。 19.支持公安系统平台接入密码模块（薄膜卡/TF卡等）的安装及应用。 数量：118</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1.CPU核数≧八核 2.运行内存（RAM）：≧ 12GB； 3.机身内存（ROM）：≧ 256GB；4.蓝牙BT5.2或以上，支持BLE、SBC、AAC、LDAC、APTX, APTX HD OTG； 5.定位：仅限单北斗 6.电池≧5300 mAh，支持最大11V/6A超级快充 7.NFC支付支持读卡器模式，点对点模式，卡模拟模式 8.网络制式：双卡双待,全网通 9.屏幕类型：OLED； 10.分辨率：F H D +  ；11. 数量：118</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1.提供符合省公安厅要求的4G/5G等无线网络标准接入服务，移动警务终端需通过入选《陕西省公安机关移动警务终端适配目录》。 2.提供符合公安部、省公安厅要求的终端安全监控组件服务。在服务期内警务通数据须适配和预装陕西省公安厅移动终端省厅指定软件，不可卸载。 3.提供公安移动警务数据通信安全加密数据无缝对接服务。按照采购人要求，对加密卡进行警员信息录入、更新、注销、迁移等制作服务，在此过程中造成损坏的加密卡由投标人负责无偿提供，以确保数据实现无缝对接，公安业务平稳运行。 4.保障采购人提供的现有用户号码继续作为警务通号码保持不变服务。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1.现场派驻服务。派驻≥1人，在合同服务期间内派驻人员到采购人单位开展硬件维护、软件升级、日常运维管理等工作，派驻人员派驻期间接受采购单位日常管理。 2.培训服务。提供项目交付常规操作应用培训，不少于2次。 3.提供终端贴膜服务及终端保护套。 4.提供不少于3%的备用机交由采购单位管理，确保24小时内更换故障设备。 5.提供综合执法平台应用、数据、中间件、网络及安全的全生命周期技术支持与主动式运维保障，确保系统持续稳定、高效安全运行。 6.按照采购方案要求提供定制彩铃服务。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现场派驻服务人员。派驻≥1人，在合同服务期间内派驻人员到采购人单位开展硬件维护、软件升级、日常运维管理等工作，派驻人员派驻期间接受采购单位日常管理。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所提供移动警务终端需满足采购需求。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（1）提供符合省公安厅要求的4G/5G等无线网络标准接入服务，移动警务终端需通过入选《陕西省公安机关移动警务终端适配目录》； （2）提供符合公安部、省公安厅要求的终端安全监控组件服务。在服务期内警务通数据须适配和预装陕西省公安厅移动终端省厅指定软件，不可卸载；（3）保障采购人提供的现有用户号码继续作为警务通号码保持不变服务；（4）现场派驻服务人员。派驻≥1人，在合同服务期间内派驻人员到采购人单位开展硬件维护、软件升级、日常运维管理等工作，派驻人员派驻期间接受采购单位日常管理；（5）提供不少于3%的备用机交由采购单位管理，确保24小时内更换故障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商洛市公安局交通警察支队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要求：乙方必须按照投标文件列明的项目清单及技术参数进行交付，并在交付项目前由甲方对项目技术、功能、服务等进行确认后方可交付使用，对于不经确认或与招标文件要求和投标文件所报项目不相符的，甲方有权拒收，直至终止合同。 乙方遇到可能妨碍按时交付项目的情况，应当及时以书面形式通知甲方，说明原由、拖延的期限等；甲方在收到通知后，尽快进行情况评估，并确定是否通过修改合同、酌情延长工期或者通过协商加收误期赔偿金等方式进行处理。 2、验收：以国家或者行业相应的标准和本合同规定进行验收。项目供货调试到位，达到使用条件时，由乙方出具验收申请，经甲方同意，由甲方根据需要组织乙方和有关技术专家组成验收小组对项目进行完工验收；验收合格的，交接项目实施的全部资料，并填写政府采购项目验收报告单。 3、交付期：自合同签订之日起30个日历天内完工并验收。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根据甲已双方在合同签订中按年或季或月支付进行协商约定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1、合同争议的解决：合同执行中发生争议的，由甲乙双方协商解决，协商达不成一致时，可向甲方所在地仲裁机关申请仲裁或者向甲方有管辖权的人民法院提请诉讼。 2、合同一经签订，不得擅自变更、中止或者终止合同。对确需变更、调整或者中止、终止合同的，应按规定履行相应的手续。 3、违约责任：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应当赔偿对乙方造成的相应经济损失。 4、因不可抗力因素（不可抗力是指战争、动乱、地震等自然灾害及不可预见的意外）造成合同无法履行的，由甲乙双方协商解决。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1.供应商在磋商时无需提交纸质磋商响应文件； 2.在采购结果公告发布后，由成交人补交一套（正本1份，副本2份）纸质响应文件用于备案；3.纸质响应文件应从政府采购投标文件制作工具中导出后进行编辑、制作，并与电子磋商响应文件一致；4.纸质响应文件须按磋商文件规定的制作要求进行制作、打印、胶装成册；5.线下递交响应文件地点:商洛市商州区工农路12号，商洛财政办公楼613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符合《政府采购法》第二十二条规定的承诺函.docx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主体资格合法有效</w:t>
            </w:r>
          </w:p>
        </w:tc>
        <w:tc>
          <w:tcPr>
            <w:tcW w:type="dxa" w:w="3322"/>
          </w:tcPr>
          <w:p>
            <w:pPr>
              <w:pStyle w:val="null3"/>
            </w:pPr>
            <w:r>
              <w:rPr>
                <w:rFonts w:ascii="仿宋_GB2312" w:hAnsi="仿宋_GB2312" w:cs="仿宋_GB2312" w:eastAsia="仿宋_GB2312"/>
              </w:rPr>
              <w:t>供应商须在中华人民共和国境内注册，依法取得并有效存续的营业执照（或事业单位法人证书/民办非企业单位登记证书/非企业专业服务机构执业许可证等）。供应商须在项目电子化采购系统中提交企业类型证书原件的扫描件，并完成电子签章。</w:t>
            </w:r>
          </w:p>
        </w:tc>
        <w:tc>
          <w:tcPr>
            <w:tcW w:type="dxa" w:w="1661"/>
          </w:tcPr>
          <w:p>
            <w:pPr>
              <w:pStyle w:val="null3"/>
            </w:pPr>
            <w:r>
              <w:rPr>
                <w:rFonts w:ascii="仿宋_GB2312" w:hAnsi="仿宋_GB2312" w:cs="仿宋_GB2312" w:eastAsia="仿宋_GB2312"/>
              </w:rPr>
              <w:t>响应文件封面 主体资格证明文件.docx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具有良好的财务状况</w:t>
            </w:r>
          </w:p>
        </w:tc>
        <w:tc>
          <w:tcPr>
            <w:tcW w:type="dxa" w:w="3322"/>
          </w:tcPr>
          <w:p>
            <w:pPr>
              <w:pStyle w:val="null3"/>
            </w:pPr>
            <w:r>
              <w:rPr>
                <w:rFonts w:ascii="仿宋_GB2312" w:hAnsi="仿宋_GB2312" w:cs="仿宋_GB2312" w:eastAsia="仿宋_GB2312"/>
              </w:rPr>
              <w:t>供应商须具有良好的财务状况，并须在项目电子化交易系统中提交具有良好财务状况的承诺函，且承诺财务状况良好，并完成电子签章。</w:t>
            </w:r>
          </w:p>
        </w:tc>
        <w:tc>
          <w:tcPr>
            <w:tcW w:type="dxa" w:w="1661"/>
          </w:tcPr>
          <w:p>
            <w:pPr>
              <w:pStyle w:val="null3"/>
            </w:pPr>
            <w:r>
              <w:rPr>
                <w:rFonts w:ascii="仿宋_GB2312" w:hAnsi="仿宋_GB2312" w:cs="仿宋_GB2312" w:eastAsia="仿宋_GB2312"/>
              </w:rPr>
              <w:t>具有财务状况良好承诺函.docx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具有良好的税收缴纳记录</w:t>
            </w:r>
          </w:p>
        </w:tc>
        <w:tc>
          <w:tcPr>
            <w:tcW w:type="dxa" w:w="3322"/>
          </w:tcPr>
          <w:p>
            <w:pPr>
              <w:pStyle w:val="null3"/>
            </w:pPr>
            <w:r>
              <w:rPr>
                <w:rFonts w:ascii="仿宋_GB2312" w:hAnsi="仿宋_GB2312" w:cs="仿宋_GB2312" w:eastAsia="仿宋_GB2312"/>
              </w:rPr>
              <w:t>供应商须具有良好的税收缴纳记录，并须在项目电子化交易系统中提交具有良好税收缴纳记录的承诺函，且承诺税收缴纳记录良好，并完成电子签章。</w:t>
            </w:r>
          </w:p>
        </w:tc>
        <w:tc>
          <w:tcPr>
            <w:tcW w:type="dxa" w:w="1661"/>
          </w:tcPr>
          <w:p>
            <w:pPr>
              <w:pStyle w:val="null3"/>
            </w:pPr>
            <w:r>
              <w:rPr>
                <w:rFonts w:ascii="仿宋_GB2312" w:hAnsi="仿宋_GB2312" w:cs="仿宋_GB2312" w:eastAsia="仿宋_GB2312"/>
              </w:rPr>
              <w:t>具有良好税收缴纳记录承诺函.docx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具有良好的社会保障资金缴纳记录</w:t>
            </w:r>
          </w:p>
        </w:tc>
        <w:tc>
          <w:tcPr>
            <w:tcW w:type="dxa" w:w="3322"/>
          </w:tcPr>
          <w:p>
            <w:pPr>
              <w:pStyle w:val="null3"/>
            </w:pPr>
            <w:r>
              <w:rPr>
                <w:rFonts w:ascii="仿宋_GB2312" w:hAnsi="仿宋_GB2312" w:cs="仿宋_GB2312" w:eastAsia="仿宋_GB2312"/>
              </w:rPr>
              <w:t>供应商须具有良好的社会保障资金缴纳记录，并须在项目电子化交易系统中提交具有良好的社会保障资金缴纳记录的承诺函，且承诺社会保障资金缴纳记录良好，并完成电子签章。</w:t>
            </w:r>
          </w:p>
        </w:tc>
        <w:tc>
          <w:tcPr>
            <w:tcW w:type="dxa" w:w="1661"/>
          </w:tcPr>
          <w:p>
            <w:pPr>
              <w:pStyle w:val="null3"/>
            </w:pPr>
            <w:r>
              <w:rPr>
                <w:rFonts w:ascii="仿宋_GB2312" w:hAnsi="仿宋_GB2312" w:cs="仿宋_GB2312" w:eastAsia="仿宋_GB2312"/>
              </w:rPr>
              <w:t>具有良好的社会保障资金缴纳记录.docx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近三年内在经营活动中无重大违法记录</w:t>
            </w:r>
          </w:p>
        </w:tc>
        <w:tc>
          <w:tcPr>
            <w:tcW w:type="dxa" w:w="3322"/>
          </w:tcPr>
          <w:p>
            <w:pPr>
              <w:pStyle w:val="null3"/>
            </w:pPr>
            <w:r>
              <w:rPr>
                <w:rFonts w:ascii="仿宋_GB2312" w:hAnsi="仿宋_GB2312" w:cs="仿宋_GB2312" w:eastAsia="仿宋_GB2312"/>
              </w:rPr>
              <w:t>供应商近三年内在经营活动中须无重大违法记录，并须在项目电子化交易系统中提交近三年内在经营活动中无重大违法记录声明函，且近三年内在经营活动中无重大违法记录，并完成电子签章。</w:t>
            </w:r>
          </w:p>
        </w:tc>
        <w:tc>
          <w:tcPr>
            <w:tcW w:type="dxa" w:w="1661"/>
          </w:tcPr>
          <w:p>
            <w:pPr>
              <w:pStyle w:val="null3"/>
            </w:pPr>
            <w:r>
              <w:rPr>
                <w:rFonts w:ascii="仿宋_GB2312" w:hAnsi="仿宋_GB2312" w:cs="仿宋_GB2312" w:eastAsia="仿宋_GB2312"/>
              </w:rPr>
              <w:t>无重大违法记录声明.docx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法定代表人（负责人）授权书合法有效</w:t>
            </w:r>
          </w:p>
        </w:tc>
        <w:tc>
          <w:tcPr>
            <w:tcW w:type="dxa" w:w="3322"/>
          </w:tcPr>
          <w:p>
            <w:pPr>
              <w:pStyle w:val="null3"/>
            </w:pPr>
            <w:r>
              <w:rPr>
                <w:rFonts w:ascii="仿宋_GB2312" w:hAnsi="仿宋_GB2312" w:cs="仿宋_GB2312" w:eastAsia="仿宋_GB2312"/>
              </w:rPr>
              <w:t>（一）供应商参加本项目磋商采购活动，法定代表人（负责人）委托授权书须合法有效。 （二）供应商须在陕西省政府采购电子化交易系统中上传法定代表人（负责人）委托授权书原件的扫描件，并进行电子签章。</w:t>
            </w:r>
          </w:p>
        </w:tc>
        <w:tc>
          <w:tcPr>
            <w:tcW w:type="dxa" w:w="1661"/>
          </w:tcPr>
          <w:p>
            <w:pPr>
              <w:pStyle w:val="null3"/>
            </w:pPr>
            <w:r>
              <w:rPr>
                <w:rFonts w:ascii="仿宋_GB2312" w:hAnsi="仿宋_GB2312" w:cs="仿宋_GB2312" w:eastAsia="仿宋_GB2312"/>
              </w:rPr>
              <w:t>法定代表人（负责人）授权书.docx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单位负责人为同一人或者存在直接控股、管理关系的不同供应商，不得同时参加本项目同一合同项下政府采购活动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政府采购活动。供应商须在项目电子化交易系统中提交“单位负责人为同一人或者存在直接控股、管理关系的不同供应商，不得同时参加本项目同一合同项下的政府采购活动的承诺书”原件的扫描件，并完成电子签章。</w:t>
            </w:r>
          </w:p>
        </w:tc>
        <w:tc>
          <w:tcPr>
            <w:tcW w:type="dxa" w:w="1661"/>
          </w:tcPr>
          <w:p>
            <w:pPr>
              <w:pStyle w:val="null3"/>
            </w:pPr>
            <w:r>
              <w:rPr>
                <w:rFonts w:ascii="仿宋_GB2312" w:hAnsi="仿宋_GB2312" w:cs="仿宋_GB2312" w:eastAsia="仿宋_GB2312"/>
              </w:rPr>
              <w:t>控股管理关系承诺函.docx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非联合体不分包响应声明</w:t>
            </w:r>
          </w:p>
        </w:tc>
        <w:tc>
          <w:tcPr>
            <w:tcW w:type="dxa" w:w="3322"/>
          </w:tcPr>
          <w:p>
            <w:pPr>
              <w:pStyle w:val="null3"/>
            </w:pPr>
            <w:r>
              <w:rPr>
                <w:rFonts w:ascii="仿宋_GB2312" w:hAnsi="仿宋_GB2312" w:cs="仿宋_GB2312" w:eastAsia="仿宋_GB2312"/>
              </w:rPr>
              <w:t>本项目不接受联合体响应，供应商须以一个独立的法人实体参加响应。供应商须在项目电子化交易系统中提交“非联合体不分包响应声明函”原件的扫描件，并完成电子签章。</w:t>
            </w:r>
          </w:p>
        </w:tc>
        <w:tc>
          <w:tcPr>
            <w:tcW w:type="dxa" w:w="1661"/>
          </w:tcPr>
          <w:p>
            <w:pPr>
              <w:pStyle w:val="null3"/>
            </w:pPr>
            <w:r>
              <w:rPr>
                <w:rFonts w:ascii="仿宋_GB2312" w:hAnsi="仿宋_GB2312" w:cs="仿宋_GB2312" w:eastAsia="仿宋_GB2312"/>
              </w:rPr>
              <w:t>非联合体不分包投标声明函.docx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信用记录查询证明</w:t>
            </w:r>
          </w:p>
        </w:tc>
        <w:tc>
          <w:tcPr>
            <w:tcW w:type="dxa" w:w="3322"/>
          </w:tcPr>
          <w:p>
            <w:pPr>
              <w:pStyle w:val="null3"/>
            </w:pPr>
            <w:r>
              <w:rPr>
                <w:rFonts w:ascii="仿宋_GB2312" w:hAnsi="仿宋_GB2312" w:cs="仿宋_GB2312" w:eastAsia="仿宋_GB2312"/>
              </w:rPr>
              <w:t>供应商未被信用中国网站（http://www.creditchina.gov.cn）列入信用记录失信被执行人、重大税收违法案件当事人名单，未被中国政府采购网（http://www.ccgp.gov.cn）列为政府采购严重违法失信行为记录名单、未被禁止参加政府采购活动。供应商须在项目电子化交易系统中提交在信用中国网站、中国政府采购网的信用记录查询截图（标注查询日期），并完成电子签章。</w:t>
            </w:r>
          </w:p>
        </w:tc>
        <w:tc>
          <w:tcPr>
            <w:tcW w:type="dxa" w:w="1661"/>
          </w:tcPr>
          <w:p>
            <w:pPr>
              <w:pStyle w:val="null3"/>
            </w:pPr>
            <w:r>
              <w:rPr>
                <w:rFonts w:ascii="仿宋_GB2312" w:hAnsi="仿宋_GB2312" w:cs="仿宋_GB2312" w:eastAsia="仿宋_GB2312"/>
              </w:rPr>
              <w:t>信用记录声明函.docx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响应文件签字、盖章及有效期</w:t>
            </w:r>
          </w:p>
        </w:tc>
        <w:tc>
          <w:tcPr>
            <w:tcW w:type="dxa" w:w="3322"/>
          </w:tcPr>
          <w:p>
            <w:pPr>
              <w:pStyle w:val="null3"/>
            </w:pPr>
            <w:r>
              <w:rPr>
                <w:rFonts w:ascii="仿宋_GB2312" w:hAnsi="仿宋_GB2312" w:cs="仿宋_GB2312" w:eastAsia="仿宋_GB2312"/>
              </w:rPr>
              <w:t>响应文件中的签字、盖章必须齐全、完整，响应函上须明确标明响应文件的有效期。响应文件签字、盖章不完整，有效期不符合要求的，符合性审查不予通过。</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磋商价格</w:t>
            </w:r>
          </w:p>
        </w:tc>
        <w:tc>
          <w:tcPr>
            <w:tcW w:type="dxa" w:w="3322"/>
          </w:tcPr>
          <w:p>
            <w:pPr>
              <w:pStyle w:val="null3"/>
            </w:pPr>
            <w:r>
              <w:rPr>
                <w:rFonts w:ascii="仿宋_GB2312" w:hAnsi="仿宋_GB2312" w:cs="仿宋_GB2312" w:eastAsia="仿宋_GB2312"/>
              </w:rPr>
              <w:t>磋商价格不得超过本项目预算价，否则符合性审查不予通过。</w:t>
            </w:r>
          </w:p>
        </w:tc>
        <w:tc>
          <w:tcPr>
            <w:tcW w:type="dxa" w:w="1661"/>
          </w:tcPr>
          <w:p>
            <w:pPr>
              <w:pStyle w:val="null3"/>
            </w:pPr>
            <w:r>
              <w:rPr>
                <w:rFonts w:ascii="仿宋_GB2312" w:hAnsi="仿宋_GB2312" w:cs="仿宋_GB2312" w:eastAsia="仿宋_GB2312"/>
              </w:rPr>
              <w:t>报价表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商务响应方案</w:t>
            </w:r>
          </w:p>
        </w:tc>
        <w:tc>
          <w:tcPr>
            <w:tcW w:type="dxa" w:w="3322"/>
          </w:tcPr>
          <w:p>
            <w:pPr>
              <w:pStyle w:val="null3"/>
            </w:pPr>
            <w:r>
              <w:rPr>
                <w:rFonts w:ascii="仿宋_GB2312" w:hAnsi="仿宋_GB2312" w:cs="仿宋_GB2312" w:eastAsia="仿宋_GB2312"/>
              </w:rPr>
              <w:t>（一）《商务响应方案》是重要评审因素。供应商应根据本项目对服务项目、服务内容的要求，自行编制《商务响应方案》，并填报《商务响应偏离表》。 （二）《商务响应方案》要求内容完整、全面、可行，有具体措施，能够完全响应本项目实质性商务要求。 （三）供应商须将编制的《商务响应方案》及填报的《商务响应偏离表》上传到陕西省政府采购电子化交易系统，并进行电子签章。</w:t>
            </w:r>
          </w:p>
        </w:tc>
        <w:tc>
          <w:tcPr>
            <w:tcW w:type="dxa" w:w="1661"/>
          </w:tcPr>
          <w:p>
            <w:pPr>
              <w:pStyle w:val="null3"/>
            </w:pPr>
            <w:r>
              <w:rPr>
                <w:rFonts w:ascii="仿宋_GB2312" w:hAnsi="仿宋_GB2312" w:cs="仿宋_GB2312" w:eastAsia="仿宋_GB2312"/>
              </w:rPr>
              <w:t>商务响应方案.docx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磋商条件</w:t>
            </w:r>
          </w:p>
        </w:tc>
        <w:tc>
          <w:tcPr>
            <w:tcW w:type="dxa" w:w="3322"/>
          </w:tcPr>
          <w:p>
            <w:pPr>
              <w:pStyle w:val="null3"/>
            </w:pPr>
            <w:r>
              <w:rPr>
                <w:rFonts w:ascii="仿宋_GB2312" w:hAnsi="仿宋_GB2312" w:cs="仿宋_GB2312" w:eastAsia="仿宋_GB2312"/>
              </w:rPr>
              <w:t>磋商响应文件中是否附有采购人不能接受的条件。</w:t>
            </w:r>
          </w:p>
        </w:tc>
        <w:tc>
          <w:tcPr>
            <w:tcW w:type="dxa" w:w="1661"/>
          </w:tcPr>
          <w:p>
            <w:pPr>
              <w:pStyle w:val="null3"/>
            </w:pPr>
            <w:r>
              <w:rPr>
                <w:rFonts w:ascii="仿宋_GB2312" w:hAnsi="仿宋_GB2312" w:cs="仿宋_GB2312" w:eastAsia="仿宋_GB2312"/>
              </w:rPr>
              <w:t>服务保障措施及计划.docx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响应其他实质性要求</w:t>
            </w:r>
          </w:p>
        </w:tc>
        <w:tc>
          <w:tcPr>
            <w:tcW w:type="dxa" w:w="3322"/>
          </w:tcPr>
          <w:p>
            <w:pPr>
              <w:pStyle w:val="null3"/>
            </w:pPr>
            <w:r>
              <w:rPr>
                <w:rFonts w:ascii="仿宋_GB2312" w:hAnsi="仿宋_GB2312" w:cs="仿宋_GB2312" w:eastAsia="仿宋_GB2312"/>
              </w:rPr>
              <w:t>磋商响应文件中的其他响应方案是否响应了磋商文件规定的其他实质性要求。</w:t>
            </w:r>
          </w:p>
        </w:tc>
        <w:tc>
          <w:tcPr>
            <w:tcW w:type="dxa" w:w="1661"/>
          </w:tcPr>
          <w:p>
            <w:pPr>
              <w:pStyle w:val="null3"/>
            </w:pPr>
            <w:r>
              <w:rPr>
                <w:rFonts w:ascii="仿宋_GB2312" w:hAnsi="仿宋_GB2312" w:cs="仿宋_GB2312" w:eastAsia="仿宋_GB2312"/>
              </w:rPr>
              <w:t>服务响应方案.docx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法律、法规规定</w:t>
            </w:r>
          </w:p>
        </w:tc>
        <w:tc>
          <w:tcPr>
            <w:tcW w:type="dxa" w:w="3322"/>
          </w:tcPr>
          <w:p>
            <w:pPr>
              <w:pStyle w:val="null3"/>
            </w:pPr>
            <w:r>
              <w:rPr>
                <w:rFonts w:ascii="仿宋_GB2312" w:hAnsi="仿宋_GB2312" w:cs="仿宋_GB2312" w:eastAsia="仿宋_GB2312"/>
              </w:rPr>
              <w:t>磋商响应文件是否有违反《中华人民共和国政府采购法》和其他相关法律、法规规定的情形。</w:t>
            </w:r>
          </w:p>
        </w:tc>
        <w:tc>
          <w:tcPr>
            <w:tcW w:type="dxa" w:w="1661"/>
          </w:tcPr>
          <w:p>
            <w:pPr>
              <w:pStyle w:val="null3"/>
            </w:pPr>
            <w:r>
              <w:rPr>
                <w:rFonts w:ascii="仿宋_GB2312" w:hAnsi="仿宋_GB2312" w:cs="仿宋_GB2312" w:eastAsia="仿宋_GB2312"/>
              </w:rPr>
              <w:t>服务要点、难点分析及风险防范和保证措施.docx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供应商须按要求完成相关承诺，为进行相关承诺的，符合性审查不予通过。</w:t>
            </w:r>
          </w:p>
        </w:tc>
        <w:tc>
          <w:tcPr>
            <w:tcW w:type="dxa" w:w="1661"/>
          </w:tcPr>
          <w:p>
            <w:pPr>
              <w:pStyle w:val="null3"/>
            </w:pPr>
            <w:r>
              <w:rPr>
                <w:rFonts w:ascii="仿宋_GB2312" w:hAnsi="仿宋_GB2312" w:cs="仿宋_GB2312" w:eastAsia="仿宋_GB2312"/>
              </w:rPr>
              <w:t>供应商承诺书（一）.docx 供应商承诺书（二）.docx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技术响应方案</w:t>
            </w:r>
          </w:p>
        </w:tc>
        <w:tc>
          <w:tcPr>
            <w:tcW w:type="dxa" w:w="3322"/>
          </w:tcPr>
          <w:p>
            <w:pPr>
              <w:pStyle w:val="null3"/>
            </w:pPr>
            <w:r>
              <w:rPr>
                <w:rFonts w:ascii="仿宋_GB2312" w:hAnsi="仿宋_GB2312" w:cs="仿宋_GB2312" w:eastAsia="仿宋_GB2312"/>
              </w:rPr>
              <w:t>（一）供应商须根据本项目对服务的技术要求以及服 务项目、服务内容、服务要求、服务标准、技术保障、报 价要求等内容，自行编制《技术保障响应方案》。 （二）《技术保障响应方案》内容包括但不限于：针 对本项目所要求的技术保障要求，提出具体的技术保障措 施等。 （三）供应商须将《技术保障响应方案》上传至陕西 省政府采购电子化交易系统，并进行电子签章。</w:t>
            </w:r>
          </w:p>
        </w:tc>
        <w:tc>
          <w:tcPr>
            <w:tcW w:type="dxa" w:w="1661"/>
          </w:tcPr>
          <w:p>
            <w:pPr>
              <w:pStyle w:val="null3"/>
            </w:pPr>
            <w:r>
              <w:rPr>
                <w:rFonts w:ascii="仿宋_GB2312" w:hAnsi="仿宋_GB2312" w:cs="仿宋_GB2312" w:eastAsia="仿宋_GB2312"/>
              </w:rPr>
              <w:t>技术响应方案.docx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基础通信服务方案</w:t>
            </w:r>
          </w:p>
        </w:tc>
        <w:tc>
          <w:tcPr>
            <w:tcW w:type="dxa" w:w="2492"/>
          </w:tcPr>
          <w:p>
            <w:pPr>
              <w:pStyle w:val="null3"/>
            </w:pPr>
            <w:r>
              <w:rPr>
                <w:rFonts w:ascii="仿宋_GB2312" w:hAnsi="仿宋_GB2312" w:cs="仿宋_GB2312" w:eastAsia="仿宋_GB2312"/>
              </w:rPr>
              <w:t>基础通信服务符合项目功能需求，技术参数客观真实，服务保障内容全面可得8-10分。基础通信服务优于招标要求并附相关佐证资料的每项加1分，此项最多加4分；提供基础电信业务经营许可证加2分；提供增值电信业务经营许可证加2分；加密通讯服务支持Android、HarmonyOS、ioS、Windows等多个系统提供官网截图加2分。技术参数和功能指标不能满足要求的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设备技术指标</w:t>
            </w:r>
          </w:p>
        </w:tc>
        <w:tc>
          <w:tcPr>
            <w:tcW w:type="dxa" w:w="2492"/>
          </w:tcPr>
          <w:p>
            <w:pPr>
              <w:pStyle w:val="null3"/>
            </w:pPr>
            <w:r>
              <w:rPr>
                <w:rFonts w:ascii="仿宋_GB2312" w:hAnsi="仿宋_GB2312" w:cs="仿宋_GB2312" w:eastAsia="仿宋_GB2312"/>
              </w:rPr>
              <w:t>提供的移动警务终端技术指标完全符合项目要求的得5分。技术参数和功能指标更优者可适当加分，此项最多加3分。技术参数和功能指标不能满足要求的本项不得分。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系统对接服务方案</w:t>
            </w:r>
          </w:p>
        </w:tc>
        <w:tc>
          <w:tcPr>
            <w:tcW w:type="dxa" w:w="2492"/>
          </w:tcPr>
          <w:p>
            <w:pPr>
              <w:pStyle w:val="null3"/>
            </w:pPr>
            <w:r>
              <w:rPr>
                <w:rFonts w:ascii="仿宋_GB2312" w:hAnsi="仿宋_GB2312" w:cs="仿宋_GB2312" w:eastAsia="仿宋_GB2312"/>
              </w:rPr>
              <w:t>移动警务终端符合4G/5G等无线网络标准接入服务要求，所供产品入选陕西省公安厅发布的《移动警务终端名录》且能够提供承诺书的得3分;能够提供陕西省公安厅移动终端指定不可卸载软件承诺书的得1分;提供公安移动警务数据通信安全加密数据无缝对接服务承诺书的得1分;提供现有用户号码继续作为警务通号码保持不变服务承诺书并提供证明材料的得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移动警务终端进货渠道正规，并能够提供相关证明材料的得5分。否则，本项不得分。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完整，组织实施计划科学可行，分工明确到位，协调措施有力，具有完成项目的组织能力、财力、物力、人力保障，质量保证措施齐全，内容完整详细，能够保证按期完工的可得1-3分。拟派项目服务团队项目负责人应具备系统集成项目管理工程师和PMP资格证书，满足得2分，不具备不得分；项目技术负责人应具备网络工程师和PMP资格证书，满足得2分，不具备不得分；项目实施负责人应具备信息系统项目管理师证书，满足得1分，不具备不得分，无项目实施方案或项目实施方案不符合项目需求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服务团队服务方案.docx</w:t>
            </w:r>
          </w:p>
        </w:tc>
      </w:tr>
      <w:tr>
        <w:tc>
          <w:tcPr>
            <w:tcW w:type="dxa" w:w="831"/>
            <w:vMerge/>
          </w:tcPr>
          <w:p/>
        </w:tc>
        <w:tc>
          <w:tcPr>
            <w:tcW w:type="dxa" w:w="1661"/>
          </w:tcPr>
          <w:p>
            <w:pPr>
              <w:pStyle w:val="null3"/>
            </w:pPr>
            <w:r>
              <w:rPr>
                <w:rFonts w:ascii="仿宋_GB2312" w:hAnsi="仿宋_GB2312" w:cs="仿宋_GB2312" w:eastAsia="仿宋_GB2312"/>
              </w:rPr>
              <w:t>现场派驻服务</w:t>
            </w:r>
          </w:p>
        </w:tc>
        <w:tc>
          <w:tcPr>
            <w:tcW w:type="dxa" w:w="2492"/>
          </w:tcPr>
          <w:p>
            <w:pPr>
              <w:pStyle w:val="null3"/>
            </w:pPr>
            <w:r>
              <w:rPr>
                <w:rFonts w:ascii="仿宋_GB2312" w:hAnsi="仿宋_GB2312" w:cs="仿宋_GB2312" w:eastAsia="仿宋_GB2312"/>
              </w:rPr>
              <w:t>现场派驻服务人员专业能力强，经验丰富，工作任务清晰明确，并提供人员证书和详细服务计划的可得2-4分。提供以往驻场服务良好以上客户证明材料的，每提供1份得1分，此项最多得3分。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提供详尽的培训方案及培训计划,培训内容及方式满足本项目建设、管理、维护、使用等要求的可得1-3分。无培训措施或培训措施不符合要求的本项不得分。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详细、具体、有针对性，备品备件及耗材情况明确，售后服务体系完善具体的可得1-4分。提供综合执法平台原厂授权书及售后服务承诺的加2分。售后服务方案优于招标文件要求的每项加1分，最多加2分。无售后服务方案，无保证措施或方案及措施不符合要求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商务方案</w:t>
            </w:r>
          </w:p>
        </w:tc>
        <w:tc>
          <w:tcPr>
            <w:tcW w:type="dxa" w:w="2492"/>
          </w:tcPr>
          <w:p>
            <w:pPr>
              <w:pStyle w:val="null3"/>
            </w:pPr>
            <w:r>
              <w:rPr>
                <w:rFonts w:ascii="仿宋_GB2312" w:hAnsi="仿宋_GB2312" w:cs="仿宋_GB2312" w:eastAsia="仿宋_GB2312"/>
              </w:rPr>
              <w:t>满足商务合同条款要求的，得2分；商务方案优于招标文件要求的加1分。不满足合同条款要求的，本项不得分。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商务响应方案.docx</w:t>
            </w:r>
          </w:p>
        </w:tc>
      </w:tr>
      <w:tr>
        <w:tc>
          <w:tcPr>
            <w:tcW w:type="dxa" w:w="831"/>
            <w:vMerge/>
          </w:tcPr>
          <w:p/>
        </w:tc>
        <w:tc>
          <w:tcPr>
            <w:tcW w:type="dxa" w:w="1661"/>
          </w:tcPr>
          <w:p>
            <w:pPr>
              <w:pStyle w:val="null3"/>
            </w:pPr>
            <w:r>
              <w:rPr>
                <w:rFonts w:ascii="仿宋_GB2312" w:hAnsi="仿宋_GB2312" w:cs="仿宋_GB2312" w:eastAsia="仿宋_GB2312"/>
              </w:rPr>
              <w:t>系统安全服务方案</w:t>
            </w:r>
          </w:p>
        </w:tc>
        <w:tc>
          <w:tcPr>
            <w:tcW w:type="dxa" w:w="2492"/>
          </w:tcPr>
          <w:p>
            <w:pPr>
              <w:pStyle w:val="null3"/>
            </w:pPr>
            <w:r>
              <w:rPr>
                <w:rFonts w:ascii="仿宋_GB2312" w:hAnsi="仿宋_GB2312" w:cs="仿宋_GB2312" w:eastAsia="仿宋_GB2312"/>
              </w:rPr>
              <w:t>系统安全服务符合项目功能需求，技术参数客观真实，安全服务保障可靠全面，并附相关佐证资料的可得1-2分。提供安全薄膜卡原厂授权书及售后服务承诺的加2分，提供检测报告及产品彩页加1分，技术参数和功能指标不能满足要求的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产品检测认证</w:t>
            </w:r>
          </w:p>
        </w:tc>
        <w:tc>
          <w:tcPr>
            <w:tcW w:type="dxa" w:w="2492"/>
          </w:tcPr>
          <w:p>
            <w:pPr>
              <w:pStyle w:val="null3"/>
            </w:pPr>
            <w:r>
              <w:rPr>
                <w:rFonts w:ascii="仿宋_GB2312" w:hAnsi="仿宋_GB2312" w:cs="仿宋_GB2312" w:eastAsia="仿宋_GB2312"/>
              </w:rPr>
              <w:t>产品质量符合国家最新标准和行业规范，并提供核发认定证书或产品检测报告的得5分。否则，本项不得分。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提供近三年类似项目业绩证明文件（合同），并提供驻场服务客户评价证明的，每提供1份得3分，此项最多得6分。未提供业绩证明文件、客户评价意见的，本项不得分。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最低有效的报价为基准价计15分。其他各供应商的报价按下列公式计算：（Y/X）×15＝Z，X＝投标价、Y＝基准价、Z＝报价得分。具备享受价格得分优惠的企业，按有关规定进行价格分计算。</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详见附件：符合《政府采购法》第二十二条规定的承诺函.docx</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详见附件：具有财务状况良好承诺函.docx</w:t>
      </w:r>
    </w:p>
    <w:p>
      <w:pPr>
        <w:pStyle w:val="null3"/>
        <w:ind w:firstLine="960"/>
      </w:pPr>
      <w:r>
        <w:rPr>
          <w:rFonts w:ascii="仿宋_GB2312" w:hAnsi="仿宋_GB2312" w:cs="仿宋_GB2312" w:eastAsia="仿宋_GB2312"/>
        </w:rPr>
        <w:t>详见附件：具有良好税收缴纳记录承诺函.docx</w:t>
      </w:r>
    </w:p>
    <w:p>
      <w:pPr>
        <w:pStyle w:val="null3"/>
        <w:ind w:firstLine="960"/>
      </w:pPr>
      <w:r>
        <w:rPr>
          <w:rFonts w:ascii="仿宋_GB2312" w:hAnsi="仿宋_GB2312" w:cs="仿宋_GB2312" w:eastAsia="仿宋_GB2312"/>
        </w:rPr>
        <w:t>详见附件：具有良好的社会保障资金缴纳记录.docx</w:t>
      </w:r>
    </w:p>
    <w:p>
      <w:pPr>
        <w:pStyle w:val="null3"/>
        <w:ind w:firstLine="960"/>
      </w:pPr>
      <w:r>
        <w:rPr>
          <w:rFonts w:ascii="仿宋_GB2312" w:hAnsi="仿宋_GB2312" w:cs="仿宋_GB2312" w:eastAsia="仿宋_GB2312"/>
        </w:rPr>
        <w:t>详见附件：无重大违法记录声明.docx</w:t>
      </w:r>
    </w:p>
    <w:p>
      <w:pPr>
        <w:pStyle w:val="null3"/>
        <w:ind w:firstLine="960"/>
      </w:pPr>
      <w:r>
        <w:rPr>
          <w:rFonts w:ascii="仿宋_GB2312" w:hAnsi="仿宋_GB2312" w:cs="仿宋_GB2312" w:eastAsia="仿宋_GB2312"/>
        </w:rPr>
        <w:t>详见附件：控股管理关系承诺函.docx</w:t>
      </w:r>
    </w:p>
    <w:p>
      <w:pPr>
        <w:pStyle w:val="null3"/>
        <w:ind w:firstLine="960"/>
      </w:pPr>
      <w:r>
        <w:rPr>
          <w:rFonts w:ascii="仿宋_GB2312" w:hAnsi="仿宋_GB2312" w:cs="仿宋_GB2312" w:eastAsia="仿宋_GB2312"/>
        </w:rPr>
        <w:t>详见附件：非联合体不分包投标声明函.docx</w:t>
      </w:r>
    </w:p>
    <w:p>
      <w:pPr>
        <w:pStyle w:val="null3"/>
        <w:ind w:firstLine="960"/>
      </w:pPr>
      <w:r>
        <w:rPr>
          <w:rFonts w:ascii="仿宋_GB2312" w:hAnsi="仿宋_GB2312" w:cs="仿宋_GB2312" w:eastAsia="仿宋_GB2312"/>
        </w:rPr>
        <w:t>详见附件：信用记录声明函.docx</w:t>
      </w:r>
    </w:p>
    <w:p>
      <w:pPr>
        <w:pStyle w:val="null3"/>
        <w:ind w:firstLine="960"/>
      </w:pPr>
      <w:r>
        <w:rPr>
          <w:rFonts w:ascii="仿宋_GB2312" w:hAnsi="仿宋_GB2312" w:cs="仿宋_GB2312" w:eastAsia="仿宋_GB2312"/>
        </w:rPr>
        <w:t>详见附件：商务响应方案.docx</w:t>
      </w:r>
    </w:p>
    <w:p>
      <w:pPr>
        <w:pStyle w:val="null3"/>
        <w:ind w:firstLine="960"/>
      </w:pPr>
      <w:r>
        <w:rPr>
          <w:rFonts w:ascii="仿宋_GB2312" w:hAnsi="仿宋_GB2312" w:cs="仿宋_GB2312" w:eastAsia="仿宋_GB2312"/>
        </w:rPr>
        <w:t>详见附件：服务保障措施及计划.docx</w:t>
      </w:r>
    </w:p>
    <w:p>
      <w:pPr>
        <w:pStyle w:val="null3"/>
        <w:ind w:firstLine="960"/>
      </w:pPr>
      <w:r>
        <w:rPr>
          <w:rFonts w:ascii="仿宋_GB2312" w:hAnsi="仿宋_GB2312" w:cs="仿宋_GB2312" w:eastAsia="仿宋_GB2312"/>
        </w:rPr>
        <w:t>详见附件：服务响应方案.docx</w:t>
      </w:r>
    </w:p>
    <w:p>
      <w:pPr>
        <w:pStyle w:val="null3"/>
        <w:ind w:firstLine="960"/>
      </w:pPr>
      <w:r>
        <w:rPr>
          <w:rFonts w:ascii="仿宋_GB2312" w:hAnsi="仿宋_GB2312" w:cs="仿宋_GB2312" w:eastAsia="仿宋_GB2312"/>
        </w:rPr>
        <w:t>详见附件：服务要点、难点分析及风险防范和保证措施.docx</w:t>
      </w:r>
    </w:p>
    <w:p>
      <w:pPr>
        <w:pStyle w:val="null3"/>
        <w:ind w:firstLine="960"/>
      </w:pPr>
      <w:r>
        <w:rPr>
          <w:rFonts w:ascii="仿宋_GB2312" w:hAnsi="仿宋_GB2312" w:cs="仿宋_GB2312" w:eastAsia="仿宋_GB2312"/>
        </w:rPr>
        <w:t>详见附件：供应商承诺书（一）.docx</w:t>
      </w:r>
    </w:p>
    <w:p>
      <w:pPr>
        <w:pStyle w:val="null3"/>
        <w:ind w:firstLine="960"/>
      </w:pPr>
      <w:r>
        <w:rPr>
          <w:rFonts w:ascii="仿宋_GB2312" w:hAnsi="仿宋_GB2312" w:cs="仿宋_GB2312" w:eastAsia="仿宋_GB2312"/>
        </w:rPr>
        <w:t>详见附件：供应商承诺书（二）.docx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详见附件：服务团队服务方案.docx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详见附件：法定代表人（负责人）授权书.docx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详见附件：商洛市公安局交通警察支队移动警务通信息化服务合作采购项目采购合同.docx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