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color="070000" w:fill="FDFEFE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color="070000" w:fill="FDFEFE"/>
        </w:rPr>
        <w:t>非联合体不分包响应声明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本项目不接受联合体响应，供应商须以一个独立的法人实体参加响应。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供应商须在陕西省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政府采购</w:t>
      </w:r>
      <w:r>
        <w:rPr>
          <w:rFonts w:hint="eastAsia" w:ascii="仿宋" w:hAnsi="仿宋" w:eastAsia="仿宋" w:cs="仿宋"/>
          <w:sz w:val="32"/>
          <w:szCs w:val="32"/>
        </w:rPr>
        <w:t>电子化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交易</w:t>
      </w:r>
      <w:r>
        <w:rPr>
          <w:rFonts w:hint="eastAsia" w:ascii="仿宋" w:hAnsi="仿宋" w:eastAsia="仿宋" w:cs="仿宋"/>
          <w:sz w:val="32"/>
          <w:szCs w:val="32"/>
        </w:rPr>
        <w:t>系统中上传“非联合体不分包响应声明函”原件的扫描件，并进行电子签章。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（三）声明函参考格式</w:t>
      </w: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非联合体不分包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响应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声明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致：商洛市政府采购中心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sz w:val="32"/>
          <w:szCs w:val="32"/>
        </w:rPr>
        <w:t>我公司（单位）参加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商洛市公安局交通警察支队移动警务通信息化服务合作采购项目（</w:t>
      </w:r>
      <w:r>
        <w:rPr>
          <w:rFonts w:hint="eastAsia" w:ascii="仿宋" w:hAnsi="仿宋" w:eastAsia="仿宋" w:cs="仿宋"/>
          <w:sz w:val="32"/>
          <w:szCs w:val="32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，作如下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着重</w:t>
      </w:r>
      <w:r>
        <w:rPr>
          <w:rFonts w:hint="eastAsia" w:ascii="仿宋" w:hAnsi="仿宋" w:eastAsia="仿宋" w:cs="仿宋"/>
          <w:sz w:val="32"/>
          <w:szCs w:val="32"/>
        </w:rPr>
        <w:t>承诺：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我公司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（单位）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为非联合体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，本项目实施过程由本单位独立承担。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我公司（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单位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对上述声明的真实性负责。如有虚假，将依法承担相应责任。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ascii="华文仿宋" w:hAnsi="华文仿宋" w:cs="华文仿宋"/>
          <w:color w:val="auto"/>
          <w:sz w:val="32"/>
          <w:szCs w:val="32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（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签章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）</w:t>
      </w:r>
    </w:p>
    <w:p>
      <w:pPr>
        <w:widowControl/>
        <w:tabs>
          <w:tab w:val="left" w:pos="5670"/>
        </w:tabs>
        <w:wordWrap/>
        <w:adjustRightInd/>
        <w:snapToGrid/>
        <w:spacing w:line="240" w:lineRule="auto"/>
        <w:ind w:left="0" w:leftChars="0" w:right="0"/>
        <w:jc w:val="left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日期：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　　年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　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　日</w:t>
      </w:r>
    </w:p>
    <w:p>
      <w:pPr>
        <w:pStyle w:val="7"/>
        <w:ind w:firstLine="320"/>
        <w:rPr>
          <w:rFonts w:asciiTheme="minorEastAsia" w:hAnsiTheme="minorEastAsia" w:eastAsiaTheme="minorEastAsia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Y0M2M0MWY4NzYxMDg5NWNmNGRmNTNkMGI2NTIyMzUifQ=="/>
  </w:docVars>
  <w:rsids>
    <w:rsidRoot w:val="23347291"/>
    <w:rsid w:val="00195ADA"/>
    <w:rsid w:val="001E7498"/>
    <w:rsid w:val="003F1914"/>
    <w:rsid w:val="00C27EE8"/>
    <w:rsid w:val="00ED6D55"/>
    <w:rsid w:val="0AFE3026"/>
    <w:rsid w:val="0D344A21"/>
    <w:rsid w:val="18321C65"/>
    <w:rsid w:val="1F7E6287"/>
    <w:rsid w:val="23347291"/>
    <w:rsid w:val="2ABA12DF"/>
    <w:rsid w:val="2E76670C"/>
    <w:rsid w:val="376D1421"/>
    <w:rsid w:val="39126B7F"/>
    <w:rsid w:val="3D5B0079"/>
    <w:rsid w:val="4194717D"/>
    <w:rsid w:val="4E375523"/>
    <w:rsid w:val="53191338"/>
    <w:rsid w:val="5D324E94"/>
    <w:rsid w:val="5E651888"/>
    <w:rsid w:val="5F166FCB"/>
    <w:rsid w:val="5FB32A6C"/>
    <w:rsid w:val="66D2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next w:val="8"/>
    <w:qFormat/>
    <w:uiPriority w:val="99"/>
    <w:pPr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51</Words>
  <Characters>292</Characters>
  <Lines>2</Lines>
  <Paragraphs>1</Paragraphs>
  <TotalTime>0</TotalTime>
  <ScaleCrop>false</ScaleCrop>
  <LinksUpToDate>false</LinksUpToDate>
  <CharactersWithSpaces>342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Administrator</cp:lastModifiedBy>
  <dcterms:modified xsi:type="dcterms:W3CDTF">2025-11-12T01:35:35Z</dcterms:modified>
  <dc:title>非联合体不分包响应声明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B674BC28FAE6454D920732333A73DB96_13</vt:lpwstr>
  </property>
</Properties>
</file>