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3A9D2">
      <w:pPr>
        <w:spacing w:before="114" w:line="225" w:lineRule="auto"/>
        <w:jc w:val="center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sz w:val="35"/>
          <w:szCs w:val="35"/>
        </w:rPr>
        <w:t>拟签订合同文本</w:t>
      </w:r>
    </w:p>
    <w:p w14:paraId="7098C4D5">
      <w:pPr>
        <w:spacing w:before="156" w:line="225" w:lineRule="auto"/>
        <w:ind w:left="4176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2"/>
          <w:sz w:val="31"/>
          <w:szCs w:val="31"/>
        </w:rPr>
        <w:t>协议书</w:t>
      </w:r>
    </w:p>
    <w:p w14:paraId="1AA3B77D">
      <w:pPr>
        <w:spacing w:before="233" w:line="219" w:lineRule="auto"/>
        <w:ind w:left="51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采购</w:t>
      </w:r>
      <w:bookmarkStart w:id="1" w:name="_GoBack"/>
      <w:bookmarkEnd w:id="1"/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人（甲方</w:t>
      </w:r>
      <w:r>
        <w:rPr>
          <w:rFonts w:ascii="宋体" w:hAnsi="宋体" w:eastAsia="宋体" w:cs="宋体"/>
          <w:b/>
          <w:bCs/>
          <w:sz w:val="24"/>
          <w:szCs w:val="24"/>
        </w:rPr>
        <w:t>）：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               </w:t>
      </w:r>
    </w:p>
    <w:p w14:paraId="222D237B">
      <w:pPr>
        <w:spacing w:before="180" w:line="219" w:lineRule="auto"/>
        <w:ind w:left="51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供应商（乙方</w:t>
      </w:r>
      <w:r>
        <w:rPr>
          <w:rFonts w:ascii="宋体" w:hAnsi="宋体" w:eastAsia="宋体" w:cs="宋体"/>
          <w:b/>
          <w:bCs/>
          <w:sz w:val="24"/>
          <w:szCs w:val="24"/>
        </w:rPr>
        <w:t>）：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               </w:t>
      </w:r>
    </w:p>
    <w:p w14:paraId="2D59E0C9">
      <w:pPr>
        <w:spacing w:before="183" w:line="358" w:lineRule="auto"/>
        <w:ind w:left="40" w:right="40" w:firstLine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9"/>
          <w:sz w:val="24"/>
          <w:szCs w:val="24"/>
        </w:rPr>
        <w:t>按照《中华人民共和国民法典》及其他有关法律法规，遵循平等、</w:t>
      </w:r>
      <w:r>
        <w:rPr>
          <w:rFonts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9"/>
          <w:sz w:val="24"/>
          <w:szCs w:val="24"/>
        </w:rPr>
        <w:t>自愿、公平</w:t>
      </w:r>
      <w:r>
        <w:rPr>
          <w:rFonts w:ascii="宋体" w:hAnsi="宋体" w:eastAsia="宋体" w:cs="宋体"/>
          <w:spacing w:val="12"/>
          <w:sz w:val="24"/>
          <w:szCs w:val="24"/>
        </w:rPr>
        <w:t>和诚信的原则，双方就下述项目范围与相关服务事项协商一致，订立本合同。</w:t>
      </w:r>
    </w:p>
    <w:p w14:paraId="088BEEE5">
      <w:pPr>
        <w:spacing w:line="220" w:lineRule="auto"/>
        <w:ind w:left="52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一、项目概况</w:t>
      </w:r>
    </w:p>
    <w:p w14:paraId="212CD047">
      <w:pPr>
        <w:spacing w:before="181" w:line="221" w:lineRule="auto"/>
        <w:ind w:left="53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1、项目名称</w:t>
      </w:r>
      <w:r>
        <w:rPr>
          <w:rFonts w:ascii="宋体" w:hAnsi="宋体" w:eastAsia="宋体" w:cs="宋体"/>
          <w:sz w:val="24"/>
          <w:szCs w:val="24"/>
        </w:rPr>
        <w:t>：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 xml:space="preserve">                                              </w:t>
      </w:r>
      <w:r>
        <w:rPr>
          <w:rFonts w:ascii="宋体" w:hAnsi="宋体" w:eastAsia="宋体" w:cs="宋体"/>
          <w:sz w:val="24"/>
          <w:szCs w:val="24"/>
        </w:rPr>
        <w:t>；</w:t>
      </w:r>
    </w:p>
    <w:p w14:paraId="319485AD">
      <w:pPr>
        <w:spacing w:before="181" w:line="221" w:lineRule="auto"/>
        <w:ind w:left="52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2、项目地点</w:t>
      </w:r>
      <w:r>
        <w:rPr>
          <w:rFonts w:ascii="宋体" w:hAnsi="宋体" w:eastAsia="宋体" w:cs="宋体"/>
          <w:spacing w:val="2"/>
          <w:sz w:val="24"/>
          <w:szCs w:val="24"/>
        </w:rPr>
        <w:t>：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 xml:space="preserve">                                              </w:t>
      </w:r>
      <w:r>
        <w:rPr>
          <w:rFonts w:ascii="宋体" w:hAnsi="宋体" w:eastAsia="宋体" w:cs="宋体"/>
          <w:spacing w:val="2"/>
          <w:sz w:val="24"/>
          <w:szCs w:val="24"/>
        </w:rPr>
        <w:t>；</w:t>
      </w:r>
    </w:p>
    <w:p w14:paraId="147857E9">
      <w:pPr>
        <w:spacing w:before="179" w:line="219" w:lineRule="auto"/>
        <w:ind w:left="52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二、组成本合同的文件</w:t>
      </w:r>
    </w:p>
    <w:p w14:paraId="36CDD670">
      <w:pPr>
        <w:spacing w:before="183" w:line="219" w:lineRule="auto"/>
        <w:ind w:left="53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1、中标通知书、投标文件、招标文件、澄清、招标补充文件；</w:t>
      </w:r>
    </w:p>
    <w:p w14:paraId="542C5886">
      <w:pPr>
        <w:spacing w:before="181" w:line="219" w:lineRule="auto"/>
        <w:ind w:left="52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2、相关服务建议书；</w:t>
      </w:r>
    </w:p>
    <w:p w14:paraId="2095DA8A">
      <w:pPr>
        <w:spacing w:before="183" w:line="219" w:lineRule="auto"/>
        <w:ind w:left="52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3、本合同签订后，双方依法签订的补充协议也是本合同文件的组成部分。</w:t>
      </w:r>
    </w:p>
    <w:p w14:paraId="40B34822">
      <w:pPr>
        <w:spacing w:before="183" w:line="219" w:lineRule="auto"/>
        <w:ind w:left="51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三、合同总价</w:t>
      </w:r>
    </w:p>
    <w:p w14:paraId="7A3CD41C">
      <w:pPr>
        <w:spacing w:before="181" w:line="216" w:lineRule="auto"/>
        <w:ind w:left="53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1、合同总价</w:t>
      </w:r>
      <w:r>
        <w:rPr>
          <w:rFonts w:ascii="宋体" w:hAnsi="宋体" w:eastAsia="宋体" w:cs="宋体"/>
          <w:spacing w:val="-8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（</w:t>
      </w:r>
      <w:r>
        <w:rPr>
          <w:rFonts w:ascii="宋体" w:hAnsi="宋体" w:eastAsia="宋体" w:cs="宋体"/>
          <w:spacing w:val="-8"/>
          <w:sz w:val="24"/>
          <w:szCs w:val="24"/>
        </w:rPr>
        <w:t>大写)</w:t>
      </w:r>
      <w:r>
        <w:rPr>
          <w:rFonts w:ascii="宋体" w:hAnsi="宋体" w:eastAsia="宋体" w:cs="宋体"/>
          <w:spacing w:val="2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：</w:t>
      </w:r>
      <w:r>
        <w:rPr>
          <w:rFonts w:ascii="宋体" w:hAnsi="宋体" w:eastAsia="宋体" w:cs="宋体"/>
          <w:spacing w:val="6"/>
          <w:sz w:val="24"/>
          <w:szCs w:val="24"/>
          <w:u w:val="single" w:color="auto"/>
        </w:rPr>
        <w:t xml:space="preserve">                 </w:t>
      </w:r>
      <w:r>
        <w:rPr>
          <w:rFonts w:ascii="宋体" w:hAnsi="宋体" w:eastAsia="宋体" w:cs="宋体"/>
          <w:spacing w:val="-6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(¥</w:t>
      </w:r>
      <w:r>
        <w:rPr>
          <w:position w:val="-3"/>
          <w:sz w:val="24"/>
          <w:szCs w:val="24"/>
        </w:rPr>
        <w:drawing>
          <wp:inline distT="0" distB="0" distL="0" distR="0">
            <wp:extent cx="1294765" cy="698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95285" cy="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1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) ；</w:t>
      </w:r>
    </w:p>
    <w:p w14:paraId="7AF1248B">
      <w:pPr>
        <w:spacing w:before="185" w:line="219" w:lineRule="auto"/>
        <w:ind w:left="52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2、合同总价包括：包括设备采购、施工安装、运输及验收等。</w:t>
      </w:r>
    </w:p>
    <w:p w14:paraId="2B42192C">
      <w:pPr>
        <w:spacing w:before="184" w:line="219" w:lineRule="auto"/>
        <w:ind w:left="373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供货内容一览表</w:t>
      </w:r>
    </w:p>
    <w:p w14:paraId="02C46FB6">
      <w:pPr>
        <w:spacing w:line="147" w:lineRule="exact"/>
      </w:pPr>
    </w:p>
    <w:tbl>
      <w:tblPr>
        <w:tblStyle w:val="6"/>
        <w:tblW w:w="91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"/>
        <w:gridCol w:w="918"/>
        <w:gridCol w:w="1419"/>
        <w:gridCol w:w="1620"/>
        <w:gridCol w:w="787"/>
        <w:gridCol w:w="703"/>
        <w:gridCol w:w="1003"/>
        <w:gridCol w:w="1160"/>
        <w:gridCol w:w="869"/>
      </w:tblGrid>
      <w:tr w14:paraId="0434CB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648" w:type="dxa"/>
            <w:vAlign w:val="top"/>
          </w:tcPr>
          <w:p w14:paraId="662A17FF">
            <w:pPr>
              <w:pStyle w:val="5"/>
              <w:spacing w:before="272" w:line="222" w:lineRule="auto"/>
              <w:ind w:left="88"/>
            </w:pPr>
            <w:r>
              <w:rPr>
                <w:b/>
                <w:bCs/>
                <w:spacing w:val="-7"/>
              </w:rPr>
              <w:t>序号</w:t>
            </w:r>
          </w:p>
        </w:tc>
        <w:tc>
          <w:tcPr>
            <w:tcW w:w="918" w:type="dxa"/>
            <w:vAlign w:val="top"/>
          </w:tcPr>
          <w:p w14:paraId="6893800E">
            <w:pPr>
              <w:pStyle w:val="5"/>
              <w:spacing w:before="273" w:line="222" w:lineRule="auto"/>
              <w:ind w:left="226"/>
            </w:pPr>
            <w:r>
              <w:rPr>
                <w:b/>
                <w:bCs/>
                <w:spacing w:val="-9"/>
              </w:rPr>
              <w:t>名称</w:t>
            </w:r>
          </w:p>
        </w:tc>
        <w:tc>
          <w:tcPr>
            <w:tcW w:w="1419" w:type="dxa"/>
            <w:vAlign w:val="top"/>
          </w:tcPr>
          <w:p w14:paraId="3167002C">
            <w:pPr>
              <w:pStyle w:val="5"/>
              <w:spacing w:before="41" w:line="342" w:lineRule="auto"/>
              <w:ind w:left="481" w:right="27" w:hanging="429"/>
            </w:pPr>
            <w:r>
              <w:rPr>
                <w:b/>
                <w:bCs/>
                <w:spacing w:val="-21"/>
              </w:rPr>
              <w:t>品牌、规格及</w:t>
            </w:r>
            <w:r>
              <w:rPr>
                <w:b/>
                <w:bCs/>
                <w:spacing w:val="-11"/>
              </w:rPr>
              <w:t>型号</w:t>
            </w:r>
          </w:p>
        </w:tc>
        <w:tc>
          <w:tcPr>
            <w:tcW w:w="1620" w:type="dxa"/>
            <w:vAlign w:val="top"/>
          </w:tcPr>
          <w:p w14:paraId="05817296">
            <w:pPr>
              <w:pStyle w:val="5"/>
              <w:spacing w:before="273" w:line="221" w:lineRule="auto"/>
              <w:ind w:left="577"/>
            </w:pPr>
            <w:r>
              <w:rPr>
                <w:b/>
                <w:bCs/>
                <w:spacing w:val="-9"/>
              </w:rPr>
              <w:t>厂家</w:t>
            </w:r>
          </w:p>
        </w:tc>
        <w:tc>
          <w:tcPr>
            <w:tcW w:w="787" w:type="dxa"/>
            <w:vAlign w:val="top"/>
          </w:tcPr>
          <w:p w14:paraId="70BB1C1A">
            <w:pPr>
              <w:pStyle w:val="5"/>
              <w:spacing w:before="272" w:line="219" w:lineRule="auto"/>
              <w:ind w:left="161"/>
            </w:pPr>
            <w:r>
              <w:rPr>
                <w:b/>
                <w:bCs/>
                <w:spacing w:val="-9"/>
              </w:rPr>
              <w:t>单价</w:t>
            </w:r>
          </w:p>
        </w:tc>
        <w:tc>
          <w:tcPr>
            <w:tcW w:w="703" w:type="dxa"/>
            <w:vAlign w:val="top"/>
          </w:tcPr>
          <w:p w14:paraId="4761C7D5">
            <w:pPr>
              <w:pStyle w:val="5"/>
              <w:spacing w:before="273" w:line="220" w:lineRule="auto"/>
              <w:ind w:left="118"/>
            </w:pPr>
            <w:r>
              <w:rPr>
                <w:b/>
                <w:bCs/>
                <w:spacing w:val="-9"/>
              </w:rPr>
              <w:t>数量</w:t>
            </w:r>
          </w:p>
        </w:tc>
        <w:tc>
          <w:tcPr>
            <w:tcW w:w="1003" w:type="dxa"/>
            <w:vAlign w:val="top"/>
          </w:tcPr>
          <w:p w14:paraId="63DA4FC0">
            <w:pPr>
              <w:pStyle w:val="5"/>
              <w:spacing w:before="41" w:line="342" w:lineRule="auto"/>
              <w:ind w:left="395" w:right="137" w:hanging="243"/>
            </w:pPr>
            <w:r>
              <w:rPr>
                <w:b/>
                <w:bCs/>
                <w:spacing w:val="-7"/>
              </w:rPr>
              <w:t>交付地</w:t>
            </w:r>
            <w:r>
              <w:rPr>
                <w:b/>
                <w:bCs/>
                <w:spacing w:val="-3"/>
              </w:rPr>
              <w:t>点</w:t>
            </w:r>
          </w:p>
        </w:tc>
        <w:tc>
          <w:tcPr>
            <w:tcW w:w="1160" w:type="dxa"/>
            <w:vAlign w:val="top"/>
          </w:tcPr>
          <w:p w14:paraId="49BDEE43">
            <w:pPr>
              <w:pStyle w:val="5"/>
              <w:spacing w:before="273" w:line="220" w:lineRule="auto"/>
              <w:ind w:left="109"/>
            </w:pPr>
            <w:r>
              <w:rPr>
                <w:b/>
                <w:bCs/>
                <w:spacing w:val="-6"/>
              </w:rPr>
              <w:t>交付时间</w:t>
            </w:r>
          </w:p>
        </w:tc>
        <w:tc>
          <w:tcPr>
            <w:tcW w:w="869" w:type="dxa"/>
            <w:vAlign w:val="top"/>
          </w:tcPr>
          <w:p w14:paraId="4B153FD5">
            <w:pPr>
              <w:pStyle w:val="5"/>
              <w:spacing w:before="272" w:line="222" w:lineRule="auto"/>
              <w:ind w:left="203"/>
            </w:pPr>
            <w:r>
              <w:rPr>
                <w:b/>
                <w:bCs/>
                <w:spacing w:val="-9"/>
              </w:rPr>
              <w:t>备注</w:t>
            </w:r>
          </w:p>
        </w:tc>
      </w:tr>
      <w:tr w14:paraId="18DF6C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648" w:type="dxa"/>
            <w:vAlign w:val="top"/>
          </w:tcPr>
          <w:p w14:paraId="2E0F0035">
            <w:pPr>
              <w:rPr>
                <w:rFonts w:ascii="Arial"/>
                <w:sz w:val="21"/>
              </w:rPr>
            </w:pPr>
          </w:p>
        </w:tc>
        <w:tc>
          <w:tcPr>
            <w:tcW w:w="918" w:type="dxa"/>
            <w:vAlign w:val="top"/>
          </w:tcPr>
          <w:p w14:paraId="3B6ABB90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 w14:paraId="273486B7">
            <w:pPr>
              <w:rPr>
                <w:rFonts w:ascii="Arial"/>
                <w:sz w:val="21"/>
              </w:rPr>
            </w:pPr>
          </w:p>
        </w:tc>
        <w:tc>
          <w:tcPr>
            <w:tcW w:w="1620" w:type="dxa"/>
            <w:vAlign w:val="top"/>
          </w:tcPr>
          <w:p w14:paraId="69888BD9">
            <w:pPr>
              <w:rPr>
                <w:rFonts w:ascii="Arial"/>
                <w:sz w:val="21"/>
              </w:rPr>
            </w:pPr>
          </w:p>
        </w:tc>
        <w:tc>
          <w:tcPr>
            <w:tcW w:w="787" w:type="dxa"/>
            <w:vAlign w:val="top"/>
          </w:tcPr>
          <w:p w14:paraId="54608AF5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17C63ADA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521ACD52">
            <w:pPr>
              <w:rPr>
                <w:rFonts w:ascii="Arial"/>
                <w:sz w:val="21"/>
              </w:rPr>
            </w:pPr>
          </w:p>
        </w:tc>
        <w:tc>
          <w:tcPr>
            <w:tcW w:w="1160" w:type="dxa"/>
            <w:vAlign w:val="top"/>
          </w:tcPr>
          <w:p w14:paraId="7B5A4FC1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69607856">
            <w:pPr>
              <w:rPr>
                <w:rFonts w:ascii="Arial"/>
                <w:sz w:val="21"/>
              </w:rPr>
            </w:pPr>
          </w:p>
        </w:tc>
      </w:tr>
      <w:tr w14:paraId="4F3A70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648" w:type="dxa"/>
            <w:vAlign w:val="top"/>
          </w:tcPr>
          <w:p w14:paraId="14FE14D4">
            <w:pPr>
              <w:rPr>
                <w:rFonts w:ascii="Arial"/>
                <w:sz w:val="21"/>
              </w:rPr>
            </w:pPr>
          </w:p>
        </w:tc>
        <w:tc>
          <w:tcPr>
            <w:tcW w:w="918" w:type="dxa"/>
            <w:vAlign w:val="top"/>
          </w:tcPr>
          <w:p w14:paraId="681E24B5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 w14:paraId="77B8D3BB">
            <w:pPr>
              <w:rPr>
                <w:rFonts w:ascii="Arial"/>
                <w:sz w:val="21"/>
              </w:rPr>
            </w:pPr>
          </w:p>
        </w:tc>
        <w:tc>
          <w:tcPr>
            <w:tcW w:w="1620" w:type="dxa"/>
            <w:vAlign w:val="top"/>
          </w:tcPr>
          <w:p w14:paraId="78507CFD">
            <w:pPr>
              <w:rPr>
                <w:rFonts w:ascii="Arial"/>
                <w:sz w:val="21"/>
              </w:rPr>
            </w:pPr>
          </w:p>
        </w:tc>
        <w:tc>
          <w:tcPr>
            <w:tcW w:w="787" w:type="dxa"/>
            <w:vAlign w:val="top"/>
          </w:tcPr>
          <w:p w14:paraId="0E70ABBA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39FABA98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27FE0AC9">
            <w:pPr>
              <w:rPr>
                <w:rFonts w:ascii="Arial"/>
                <w:sz w:val="21"/>
              </w:rPr>
            </w:pPr>
          </w:p>
        </w:tc>
        <w:tc>
          <w:tcPr>
            <w:tcW w:w="1160" w:type="dxa"/>
            <w:vAlign w:val="top"/>
          </w:tcPr>
          <w:p w14:paraId="0A920380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529498A7">
            <w:pPr>
              <w:rPr>
                <w:rFonts w:ascii="Arial"/>
                <w:sz w:val="21"/>
              </w:rPr>
            </w:pPr>
          </w:p>
        </w:tc>
      </w:tr>
      <w:tr w14:paraId="002CC9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648" w:type="dxa"/>
            <w:vAlign w:val="top"/>
          </w:tcPr>
          <w:p w14:paraId="2A09BE6F">
            <w:pPr>
              <w:rPr>
                <w:rFonts w:ascii="Arial"/>
                <w:sz w:val="21"/>
              </w:rPr>
            </w:pPr>
          </w:p>
        </w:tc>
        <w:tc>
          <w:tcPr>
            <w:tcW w:w="918" w:type="dxa"/>
            <w:vAlign w:val="top"/>
          </w:tcPr>
          <w:p w14:paraId="123397EA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 w14:paraId="05C70207">
            <w:pPr>
              <w:rPr>
                <w:rFonts w:ascii="Arial"/>
                <w:sz w:val="21"/>
              </w:rPr>
            </w:pPr>
          </w:p>
        </w:tc>
        <w:tc>
          <w:tcPr>
            <w:tcW w:w="1620" w:type="dxa"/>
            <w:vAlign w:val="top"/>
          </w:tcPr>
          <w:p w14:paraId="0FD06177">
            <w:pPr>
              <w:rPr>
                <w:rFonts w:ascii="Arial"/>
                <w:sz w:val="21"/>
              </w:rPr>
            </w:pPr>
          </w:p>
        </w:tc>
        <w:tc>
          <w:tcPr>
            <w:tcW w:w="787" w:type="dxa"/>
            <w:vAlign w:val="top"/>
          </w:tcPr>
          <w:p w14:paraId="747AA589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0B6B63C3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7A016088">
            <w:pPr>
              <w:rPr>
                <w:rFonts w:ascii="Arial"/>
                <w:sz w:val="21"/>
              </w:rPr>
            </w:pPr>
          </w:p>
        </w:tc>
        <w:tc>
          <w:tcPr>
            <w:tcW w:w="1160" w:type="dxa"/>
            <w:vAlign w:val="top"/>
          </w:tcPr>
          <w:p w14:paraId="28A487FA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0E97526C">
            <w:pPr>
              <w:rPr>
                <w:rFonts w:ascii="Arial"/>
                <w:sz w:val="21"/>
              </w:rPr>
            </w:pPr>
          </w:p>
        </w:tc>
      </w:tr>
      <w:tr w14:paraId="3A3AAA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648" w:type="dxa"/>
            <w:vAlign w:val="top"/>
          </w:tcPr>
          <w:p w14:paraId="7B71784F">
            <w:pPr>
              <w:rPr>
                <w:rFonts w:ascii="Arial"/>
                <w:sz w:val="21"/>
              </w:rPr>
            </w:pPr>
          </w:p>
        </w:tc>
        <w:tc>
          <w:tcPr>
            <w:tcW w:w="918" w:type="dxa"/>
            <w:vAlign w:val="top"/>
          </w:tcPr>
          <w:p w14:paraId="6052A160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 w14:paraId="58626C33">
            <w:pPr>
              <w:rPr>
                <w:rFonts w:ascii="Arial"/>
                <w:sz w:val="21"/>
              </w:rPr>
            </w:pPr>
          </w:p>
        </w:tc>
        <w:tc>
          <w:tcPr>
            <w:tcW w:w="1620" w:type="dxa"/>
            <w:vAlign w:val="top"/>
          </w:tcPr>
          <w:p w14:paraId="6627B275">
            <w:pPr>
              <w:rPr>
                <w:rFonts w:ascii="Arial"/>
                <w:sz w:val="21"/>
              </w:rPr>
            </w:pPr>
          </w:p>
        </w:tc>
        <w:tc>
          <w:tcPr>
            <w:tcW w:w="787" w:type="dxa"/>
            <w:vAlign w:val="top"/>
          </w:tcPr>
          <w:p w14:paraId="72442FD1">
            <w:pPr>
              <w:rPr>
                <w:rFonts w:ascii="Arial"/>
                <w:sz w:val="21"/>
              </w:rPr>
            </w:pPr>
          </w:p>
        </w:tc>
        <w:tc>
          <w:tcPr>
            <w:tcW w:w="703" w:type="dxa"/>
            <w:vAlign w:val="top"/>
          </w:tcPr>
          <w:p w14:paraId="5D5944C2">
            <w:pPr>
              <w:rPr>
                <w:rFonts w:ascii="Arial"/>
                <w:sz w:val="21"/>
              </w:rPr>
            </w:pPr>
          </w:p>
        </w:tc>
        <w:tc>
          <w:tcPr>
            <w:tcW w:w="1003" w:type="dxa"/>
            <w:vAlign w:val="top"/>
          </w:tcPr>
          <w:p w14:paraId="0ECF1F7E">
            <w:pPr>
              <w:rPr>
                <w:rFonts w:ascii="Arial"/>
                <w:sz w:val="21"/>
              </w:rPr>
            </w:pPr>
          </w:p>
        </w:tc>
        <w:tc>
          <w:tcPr>
            <w:tcW w:w="1160" w:type="dxa"/>
            <w:vAlign w:val="top"/>
          </w:tcPr>
          <w:p w14:paraId="4840F9E0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1D1BF191">
            <w:pPr>
              <w:rPr>
                <w:rFonts w:ascii="Arial"/>
                <w:sz w:val="21"/>
              </w:rPr>
            </w:pPr>
          </w:p>
        </w:tc>
      </w:tr>
    </w:tbl>
    <w:p w14:paraId="330A4A17">
      <w:pPr>
        <w:spacing w:before="36" w:line="220" w:lineRule="auto"/>
        <w:ind w:left="5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1"/>
          <w:sz w:val="24"/>
          <w:szCs w:val="24"/>
        </w:rPr>
        <w:t>注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1"/>
          <w:sz w:val="24"/>
          <w:szCs w:val="24"/>
        </w:rPr>
        <w:t>：此表应与招标文件、投标文件内容一致。</w:t>
      </w:r>
    </w:p>
    <w:p w14:paraId="430EDFCE">
      <w:pPr>
        <w:spacing w:before="180" w:line="220" w:lineRule="auto"/>
        <w:ind w:left="54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四、合同结算</w:t>
      </w:r>
    </w:p>
    <w:p w14:paraId="44901FE3">
      <w:pPr>
        <w:spacing w:before="181" w:line="360" w:lineRule="auto"/>
        <w:ind w:left="41" w:right="31" w:firstLine="49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1、结算单位：银行转账，由采购人负责结算。在付款前，供应商必须开具与合同</w:t>
      </w:r>
      <w:r>
        <w:rPr>
          <w:rFonts w:ascii="宋体" w:hAnsi="宋体" w:eastAsia="宋体" w:cs="宋体"/>
          <w:spacing w:val="-1"/>
          <w:sz w:val="24"/>
          <w:szCs w:val="24"/>
        </w:rPr>
        <w:t>金额相应的发票给采购人，附详细清单。</w:t>
      </w:r>
    </w:p>
    <w:p w14:paraId="097FF708">
      <w:pPr>
        <w:spacing w:line="360" w:lineRule="auto"/>
        <w:rPr>
          <w:rFonts w:ascii="宋体" w:hAnsi="宋体" w:eastAsia="宋体" w:cs="宋体"/>
          <w:sz w:val="24"/>
          <w:szCs w:val="24"/>
        </w:rPr>
        <w:sectPr>
          <w:pgSz w:w="11905" w:h="16839"/>
          <w:pgMar w:top="1032" w:right="1386" w:bottom="935" w:left="1386" w:header="701" w:footer="699" w:gutter="0"/>
          <w:cols w:space="720" w:num="1"/>
        </w:sectPr>
      </w:pPr>
    </w:p>
    <w:p w14:paraId="747262B4">
      <w:pPr>
        <w:pStyle w:val="2"/>
        <w:spacing w:line="340" w:lineRule="auto"/>
      </w:pPr>
    </w:p>
    <w:p w14:paraId="7D6F4783">
      <w:pPr>
        <w:spacing w:before="78" w:line="359" w:lineRule="auto"/>
        <w:ind w:left="11" w:right="129" w:firstLine="48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2、付款方式：货到现场后支付合同总金额的30%，安装调试完成并经各使用单位验</w:t>
      </w:r>
      <w:r>
        <w:rPr>
          <w:rFonts w:ascii="宋体" w:hAnsi="宋体" w:eastAsia="宋体" w:cs="宋体"/>
          <w:sz w:val="24"/>
          <w:szCs w:val="24"/>
        </w:rPr>
        <w:t>收合格提供发票后支付合同总金额的65%，剩余5%作为</w:t>
      </w:r>
      <w:r>
        <w:rPr>
          <w:rFonts w:ascii="宋体" w:hAnsi="宋体" w:eastAsia="宋体" w:cs="宋体"/>
          <w:spacing w:val="-1"/>
          <w:sz w:val="24"/>
          <w:szCs w:val="24"/>
        </w:rPr>
        <w:t>质保金，在通过市级验收且质保期满后一个月内一次性无息付清。</w:t>
      </w:r>
    </w:p>
    <w:p w14:paraId="71CC0C03">
      <w:pPr>
        <w:spacing w:line="219" w:lineRule="auto"/>
        <w:ind w:left="492"/>
        <w:rPr>
          <w:rFonts w:ascii="宋体" w:hAnsi="宋体" w:eastAsia="宋体" w:cs="宋体"/>
          <w:sz w:val="24"/>
          <w:szCs w:val="24"/>
        </w:rPr>
      </w:pPr>
      <w:bookmarkStart w:id="0" w:name="bookmark13"/>
      <w:bookmarkEnd w:id="0"/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五、交货条件</w:t>
      </w:r>
    </w:p>
    <w:p w14:paraId="31F352D9">
      <w:pPr>
        <w:spacing w:before="183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1、交货地点：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                              </w:t>
      </w:r>
      <w:r>
        <w:rPr>
          <w:rFonts w:ascii="宋体" w:hAnsi="宋体" w:eastAsia="宋体" w:cs="宋体"/>
          <w:spacing w:val="-4"/>
          <w:sz w:val="24"/>
          <w:szCs w:val="24"/>
        </w:rPr>
        <w:t>。</w:t>
      </w:r>
    </w:p>
    <w:p w14:paraId="3C7BC362">
      <w:pPr>
        <w:spacing w:before="180" w:line="219" w:lineRule="auto"/>
        <w:ind w:left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2、交货期：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                 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          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054D96D2">
      <w:pPr>
        <w:spacing w:before="182" w:line="220" w:lineRule="auto"/>
        <w:ind w:left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六、运输</w:t>
      </w:r>
    </w:p>
    <w:p w14:paraId="572CA3F8">
      <w:pPr>
        <w:spacing w:before="181" w:line="290" w:lineRule="auto"/>
        <w:ind w:left="21" w:right="129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1、运杂费：包括从产品供应地点到交货地点落地所包含的包装费、运输费、保险</w:t>
      </w:r>
      <w:r>
        <w:rPr>
          <w:rFonts w:ascii="宋体" w:hAnsi="宋体" w:eastAsia="宋体" w:cs="宋体"/>
          <w:spacing w:val="-2"/>
          <w:sz w:val="24"/>
          <w:szCs w:val="24"/>
        </w:rPr>
        <w:t>费、搬运费及其他一切费用。</w:t>
      </w:r>
    </w:p>
    <w:p w14:paraId="0236D28D">
      <w:pPr>
        <w:spacing w:before="178" w:line="220" w:lineRule="auto"/>
        <w:ind w:left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2、运输方式：乙方自行选择。</w:t>
      </w:r>
    </w:p>
    <w:p w14:paraId="0CCF6861">
      <w:pPr>
        <w:spacing w:before="182" w:line="220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3、产品的包装必须标明物品名称、单箱数</w:t>
      </w:r>
      <w:r>
        <w:rPr>
          <w:rFonts w:ascii="宋体" w:hAnsi="宋体" w:eastAsia="宋体" w:cs="宋体"/>
          <w:spacing w:val="-2"/>
          <w:sz w:val="24"/>
          <w:szCs w:val="24"/>
        </w:rPr>
        <w:t>量、规格等。外包装要求箱体结实牢固。</w:t>
      </w:r>
    </w:p>
    <w:p w14:paraId="06A494A8">
      <w:pPr>
        <w:spacing w:before="180" w:line="221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七、质量保证</w:t>
      </w:r>
    </w:p>
    <w:p w14:paraId="231DAB0D">
      <w:pPr>
        <w:spacing w:before="181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1、选用的产品、材料必须保证质量、进货渠道正常，满足磋商文件要求。</w:t>
      </w:r>
    </w:p>
    <w:p w14:paraId="24E39E23">
      <w:pPr>
        <w:spacing w:before="183" w:line="220" w:lineRule="auto"/>
        <w:ind w:left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2、所有产品符合国家相关规范标准，确保产品的质量。</w:t>
      </w:r>
    </w:p>
    <w:p w14:paraId="77C39C37">
      <w:pPr>
        <w:spacing w:before="180" w:line="220" w:lineRule="auto"/>
        <w:ind w:left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八、售后服务</w:t>
      </w:r>
    </w:p>
    <w:p w14:paraId="70E4FB41">
      <w:pPr>
        <w:spacing w:before="182" w:line="220" w:lineRule="auto"/>
        <w:ind w:left="49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（1）质保期内，所有产品均享受免费维护服务。</w:t>
      </w:r>
    </w:p>
    <w:p w14:paraId="1C1F152A">
      <w:pPr>
        <w:spacing w:before="179" w:line="289" w:lineRule="auto"/>
        <w:ind w:left="8" w:right="129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（2）在使用过程中若产品发生质量问题或故障，在接到采购人通知后2个小时内响</w:t>
      </w:r>
      <w:r>
        <w:rPr>
          <w:rFonts w:ascii="宋体" w:hAnsi="宋体" w:eastAsia="宋体" w:cs="宋体"/>
          <w:sz w:val="24"/>
          <w:szCs w:val="24"/>
        </w:rPr>
        <w:t>应，4个小时到达故障现场处理，一般故障处</w:t>
      </w:r>
      <w:r>
        <w:rPr>
          <w:rFonts w:ascii="宋体" w:hAnsi="宋体" w:eastAsia="宋体" w:cs="宋体"/>
          <w:spacing w:val="-1"/>
          <w:sz w:val="24"/>
          <w:szCs w:val="24"/>
        </w:rPr>
        <w:t>理时限不超过24小时。</w:t>
      </w:r>
    </w:p>
    <w:p w14:paraId="42E8653F">
      <w:pPr>
        <w:spacing w:before="182" w:line="290" w:lineRule="auto"/>
        <w:ind w:left="9" w:right="129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（3）重大故障处理时限不超过48小时，若72小时内不能修复，必须提供应急必选</w:t>
      </w:r>
      <w:r>
        <w:rPr>
          <w:rFonts w:ascii="宋体" w:hAnsi="宋体" w:eastAsia="宋体" w:cs="宋体"/>
          <w:spacing w:val="-3"/>
          <w:sz w:val="24"/>
          <w:szCs w:val="24"/>
        </w:rPr>
        <w:t>使用方案。</w:t>
      </w:r>
    </w:p>
    <w:p w14:paraId="57208AE4">
      <w:pPr>
        <w:spacing w:before="180" w:line="219" w:lineRule="auto"/>
        <w:ind w:left="49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（4）提供7*24小时系统故障电话响应。</w:t>
      </w:r>
    </w:p>
    <w:p w14:paraId="2C86734F">
      <w:pPr>
        <w:spacing w:before="183" w:line="220" w:lineRule="auto"/>
        <w:ind w:left="49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九、验收</w:t>
      </w:r>
    </w:p>
    <w:p w14:paraId="61313D79">
      <w:pPr>
        <w:spacing w:before="180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1、所供产品的规格、数量符合采购文件供应商投标承诺及采购合同约定的要求。</w:t>
      </w:r>
    </w:p>
    <w:p w14:paraId="13EE7777">
      <w:pPr>
        <w:spacing w:before="183" w:line="220" w:lineRule="auto"/>
        <w:ind w:left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2、所有产品均已运输至指定地点，并施工安装完毕。</w:t>
      </w:r>
    </w:p>
    <w:p w14:paraId="1E504FF4">
      <w:pPr>
        <w:spacing w:before="182" w:line="289" w:lineRule="auto"/>
        <w:ind w:left="8" w:right="129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3、采购文件供应商投标承诺及采购合同约定</w:t>
      </w:r>
      <w:r>
        <w:rPr>
          <w:rFonts w:ascii="宋体" w:hAnsi="宋体" w:eastAsia="宋体" w:cs="宋体"/>
          <w:spacing w:val="1"/>
          <w:sz w:val="24"/>
          <w:szCs w:val="24"/>
        </w:rPr>
        <w:t>的附件、工具、技术资料等齐全；提</w:t>
      </w:r>
      <w:r>
        <w:rPr>
          <w:rFonts w:ascii="宋体" w:hAnsi="宋体" w:eastAsia="宋体" w:cs="宋体"/>
          <w:spacing w:val="-1"/>
          <w:sz w:val="24"/>
          <w:szCs w:val="24"/>
        </w:rPr>
        <w:t>供产品使用说明书、合格证。</w:t>
      </w:r>
    </w:p>
    <w:p w14:paraId="6B662E80">
      <w:pPr>
        <w:spacing w:before="180" w:line="220" w:lineRule="auto"/>
        <w:ind w:left="4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十、违约责任</w:t>
      </w:r>
    </w:p>
    <w:p w14:paraId="50773016">
      <w:pPr>
        <w:spacing w:before="181" w:line="362" w:lineRule="auto"/>
        <w:ind w:left="28" w:right="129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5"/>
          <w:sz w:val="24"/>
          <w:szCs w:val="24"/>
        </w:rPr>
        <w:t>1、合同签订后，乙方不能交付合同规定的货物时，乙方向甲方偿付货款总额</w:t>
      </w:r>
      <w:r>
        <w:rPr>
          <w:rFonts w:ascii="宋体" w:hAnsi="宋体" w:eastAsia="宋体" w:cs="宋体"/>
          <w:spacing w:val="-6"/>
          <w:sz w:val="24"/>
          <w:szCs w:val="24"/>
        </w:rPr>
        <w:t>的违约金。</w:t>
      </w:r>
    </w:p>
    <w:p w14:paraId="05FFBCB9">
      <w:pPr>
        <w:spacing w:line="362" w:lineRule="auto"/>
        <w:rPr>
          <w:rFonts w:ascii="宋体" w:hAnsi="宋体" w:eastAsia="宋体" w:cs="宋体"/>
          <w:sz w:val="24"/>
          <w:szCs w:val="24"/>
        </w:rPr>
        <w:sectPr>
          <w:headerReference r:id="rId5" w:type="default"/>
          <w:footerReference r:id="rId6" w:type="default"/>
          <w:pgSz w:w="11905" w:h="16839"/>
          <w:pgMar w:top="1032" w:right="1287" w:bottom="935" w:left="1417" w:header="701" w:footer="699" w:gutter="0"/>
          <w:cols w:space="720" w:num="1"/>
        </w:sectPr>
      </w:pPr>
    </w:p>
    <w:p w14:paraId="5EDF68B6">
      <w:pPr>
        <w:pStyle w:val="2"/>
        <w:spacing w:line="340" w:lineRule="auto"/>
      </w:pPr>
    </w:p>
    <w:p w14:paraId="7C8C10C0">
      <w:pPr>
        <w:spacing w:before="78" w:line="289" w:lineRule="auto"/>
        <w:ind w:left="6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2、乙方逾期交付货物时，每逾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7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日乙方向甲方偿付货款总额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的滞</w:t>
      </w:r>
      <w:r>
        <w:rPr>
          <w:rFonts w:ascii="宋体" w:hAnsi="宋体" w:eastAsia="宋体" w:cs="宋体"/>
          <w:spacing w:val="-4"/>
          <w:sz w:val="24"/>
          <w:szCs w:val="24"/>
        </w:rPr>
        <w:t>纳金。</w:t>
      </w:r>
      <w:r>
        <w:rPr>
          <w:rFonts w:ascii="宋体" w:hAnsi="宋体" w:eastAsia="宋体" w:cs="宋体"/>
          <w:spacing w:val="-1"/>
          <w:sz w:val="24"/>
          <w:szCs w:val="24"/>
        </w:rPr>
        <w:t>逾期交货超过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9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天的，甲方有权决定是否继续履行合同。</w:t>
      </w:r>
    </w:p>
    <w:p w14:paraId="2A8B2C3E">
      <w:pPr>
        <w:spacing w:before="184" w:line="324" w:lineRule="auto"/>
        <w:ind w:left="8" w:right="129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3、在执行合同期限内，任何一方因不可抗力</w:t>
      </w:r>
      <w:r>
        <w:rPr>
          <w:rFonts w:ascii="宋体" w:hAnsi="宋体" w:eastAsia="宋体" w:cs="宋体"/>
          <w:spacing w:val="1"/>
          <w:sz w:val="24"/>
          <w:szCs w:val="24"/>
        </w:rPr>
        <w:t>事件造成不能履行合同时，应立即通</w:t>
      </w:r>
      <w:r>
        <w:rPr>
          <w:rFonts w:ascii="宋体" w:hAnsi="宋体" w:eastAsia="宋体" w:cs="宋体"/>
          <w:spacing w:val="-2"/>
          <w:sz w:val="24"/>
          <w:szCs w:val="24"/>
        </w:rPr>
        <w:t>知对方，并寄送有关权威机构出具的证明，则合同履行期可延长，其延长期与不可抗力影响期相同。不可抗力事件延续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9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天及以上，双方应通过友好协商，决定是否继续履行合同事宜。</w:t>
      </w:r>
    </w:p>
    <w:p w14:paraId="7FB8FA37">
      <w:pPr>
        <w:spacing w:before="180" w:line="289" w:lineRule="auto"/>
        <w:ind w:left="7" w:right="129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4、未按合同要求提供产品，且质量不能满足技术要求，采</w:t>
      </w:r>
      <w:r>
        <w:rPr>
          <w:rFonts w:ascii="宋体" w:hAnsi="宋体" w:eastAsia="宋体" w:cs="宋体"/>
          <w:spacing w:val="1"/>
          <w:sz w:val="24"/>
          <w:szCs w:val="24"/>
        </w:rPr>
        <w:t>购人有权终止合同，并</w:t>
      </w:r>
      <w:r>
        <w:rPr>
          <w:rFonts w:ascii="宋体" w:hAnsi="宋体" w:eastAsia="宋体" w:cs="宋体"/>
          <w:spacing w:val="-1"/>
          <w:sz w:val="24"/>
          <w:szCs w:val="24"/>
        </w:rPr>
        <w:t>对中标单位违约行为进行追究并承担相关责任。</w:t>
      </w:r>
    </w:p>
    <w:p w14:paraId="6D6A1317">
      <w:pPr>
        <w:spacing w:before="182" w:line="221" w:lineRule="auto"/>
        <w:ind w:left="4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十一、合同生效及其他</w:t>
      </w:r>
    </w:p>
    <w:p w14:paraId="118E8919">
      <w:pPr>
        <w:spacing w:before="178" w:line="220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1. 订立时间：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</w:t>
      </w:r>
      <w:r>
        <w:rPr>
          <w:rFonts w:ascii="宋体" w:hAnsi="宋体" w:eastAsia="宋体" w:cs="宋体"/>
          <w:spacing w:val="-10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20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10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7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日。</w:t>
      </w:r>
    </w:p>
    <w:p w14:paraId="6FA4BA2B">
      <w:pPr>
        <w:spacing w:before="182" w:line="223" w:lineRule="auto"/>
        <w:ind w:left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2. 订立地点：</w:t>
      </w:r>
      <w:r>
        <w:rPr>
          <w:rFonts w:ascii="宋体" w:hAnsi="宋体" w:eastAsia="宋体" w:cs="宋体"/>
          <w:spacing w:val="4"/>
          <w:sz w:val="24"/>
          <w:szCs w:val="24"/>
          <w:u w:val="single" w:color="auto"/>
        </w:rPr>
        <w:t xml:space="preserve">                            </w:t>
      </w:r>
      <w:r>
        <w:rPr>
          <w:rFonts w:ascii="宋体" w:hAnsi="宋体" w:eastAsia="宋体" w:cs="宋体"/>
          <w:spacing w:val="-2"/>
          <w:sz w:val="24"/>
          <w:szCs w:val="24"/>
        </w:rPr>
        <w:t>。</w:t>
      </w:r>
    </w:p>
    <w:p w14:paraId="0610EDD4">
      <w:pPr>
        <w:spacing w:before="175" w:line="290" w:lineRule="auto"/>
        <w:ind w:left="9" w:right="65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3. 本合同一式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   </w:t>
      </w:r>
      <w:r>
        <w:rPr>
          <w:rFonts w:ascii="宋体" w:hAnsi="宋体" w:eastAsia="宋体" w:cs="宋体"/>
          <w:spacing w:val="-11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份，具有同等法律效力，双方各执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 </w:t>
      </w:r>
      <w:r>
        <w:rPr>
          <w:rFonts w:ascii="宋体" w:hAnsi="宋体" w:eastAsia="宋体" w:cs="宋体"/>
          <w:spacing w:val="-4"/>
          <w:sz w:val="24"/>
          <w:szCs w:val="24"/>
          <w:u w:val="single" w:color="auto"/>
        </w:rPr>
        <w:t xml:space="preserve">  </w:t>
      </w:r>
      <w:r>
        <w:rPr>
          <w:rFonts w:ascii="宋体" w:hAnsi="宋体" w:eastAsia="宋体" w:cs="宋体"/>
          <w:spacing w:val="-1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份各方签字盖章后生效，</w:t>
      </w:r>
      <w:r>
        <w:rPr>
          <w:rFonts w:ascii="宋体" w:hAnsi="宋体" w:eastAsia="宋体" w:cs="宋体"/>
          <w:spacing w:val="-1"/>
          <w:sz w:val="24"/>
          <w:szCs w:val="24"/>
        </w:rPr>
        <w:t>合同执行完毕自动失效。（合同的服务承诺则长期有效）。</w:t>
      </w:r>
    </w:p>
    <w:p w14:paraId="16E59286">
      <w:pPr>
        <w:pStyle w:val="2"/>
        <w:spacing w:line="283" w:lineRule="auto"/>
      </w:pPr>
    </w:p>
    <w:p w14:paraId="2AEA2E72">
      <w:pPr>
        <w:pStyle w:val="2"/>
        <w:spacing w:line="283" w:lineRule="auto"/>
      </w:pPr>
    </w:p>
    <w:p w14:paraId="7625243C">
      <w:pPr>
        <w:spacing w:before="79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甲方</w:t>
      </w:r>
      <w:r>
        <w:rPr>
          <w:rFonts w:ascii="宋体" w:hAnsi="宋体" w:eastAsia="宋体" w:cs="宋体"/>
          <w:spacing w:val="-17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</w:t>
      </w:r>
      <w:r>
        <w:rPr>
          <w:rFonts w:ascii="宋体" w:hAnsi="宋体" w:eastAsia="宋体" w:cs="宋体"/>
          <w:spacing w:val="-17"/>
          <w:sz w:val="24"/>
          <w:szCs w:val="24"/>
          <w:u w:val="single" w:color="auto"/>
        </w:rPr>
        <w:t>（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>盖章）</w:t>
      </w:r>
      <w:r>
        <w:rPr>
          <w:rFonts w:ascii="宋体" w:hAnsi="宋体" w:eastAsia="宋体" w:cs="宋体"/>
          <w:spacing w:val="24"/>
          <w:sz w:val="24"/>
          <w:szCs w:val="24"/>
          <w:u w:val="single" w:color="auto"/>
        </w:rPr>
        <w:t xml:space="preserve">     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             乙方</w:t>
      </w:r>
      <w:r>
        <w:rPr>
          <w:rFonts w:ascii="宋体" w:hAnsi="宋体" w:eastAsia="宋体" w:cs="宋体"/>
          <w:spacing w:val="-17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</w:t>
      </w:r>
      <w:r>
        <w:rPr>
          <w:rFonts w:ascii="宋体" w:hAnsi="宋体" w:eastAsia="宋体" w:cs="宋体"/>
          <w:spacing w:val="-17"/>
          <w:sz w:val="24"/>
          <w:szCs w:val="24"/>
          <w:u w:val="single" w:color="auto"/>
        </w:rPr>
        <w:t>（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>盖章）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</w:t>
      </w:r>
    </w:p>
    <w:p w14:paraId="54CE361A">
      <w:pPr>
        <w:spacing w:before="183" w:line="229" w:lineRule="auto"/>
        <w:ind w:left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5"/>
          <w:sz w:val="24"/>
          <w:szCs w:val="24"/>
        </w:rPr>
        <w:t>地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sz w:val="24"/>
          <w:szCs w:val="24"/>
        </w:rPr>
        <w:t>址</w:t>
      </w:r>
      <w:r>
        <w:rPr>
          <w:rFonts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sz w:val="24"/>
          <w:szCs w:val="24"/>
        </w:rPr>
        <w:t xml:space="preserve">：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</w:t>
      </w:r>
      <w:r>
        <w:rPr>
          <w:rFonts w:ascii="宋体" w:hAnsi="宋体" w:eastAsia="宋体" w:cs="宋体"/>
          <w:sz w:val="24"/>
          <w:szCs w:val="24"/>
        </w:rPr>
        <w:t xml:space="preserve">           </w:t>
      </w:r>
      <w:r>
        <w:rPr>
          <w:rFonts w:ascii="宋体" w:hAnsi="宋体" w:eastAsia="宋体" w:cs="宋体"/>
          <w:spacing w:val="-15"/>
          <w:sz w:val="24"/>
          <w:szCs w:val="24"/>
        </w:rPr>
        <w:t>地</w:t>
      </w:r>
      <w:r>
        <w:rPr>
          <w:rFonts w:ascii="宋体" w:hAnsi="宋体" w:eastAsia="宋体" w:cs="宋体"/>
          <w:spacing w:val="10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15"/>
          <w:sz w:val="24"/>
          <w:szCs w:val="24"/>
        </w:rPr>
        <w:t>址</w:t>
      </w:r>
      <w:r>
        <w:rPr>
          <w:rFonts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</w:t>
      </w:r>
    </w:p>
    <w:p w14:paraId="2BDB9257">
      <w:pPr>
        <w:spacing w:before="168" w:line="220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邮政编码：</w:t>
      </w:r>
      <w:r>
        <w:rPr>
          <w:rFonts w:ascii="宋体" w:hAnsi="宋体" w:eastAsia="宋体" w:cs="宋体"/>
          <w:spacing w:val="7"/>
          <w:sz w:val="24"/>
          <w:szCs w:val="24"/>
          <w:u w:val="single" w:color="auto"/>
        </w:rPr>
        <w:t xml:space="preserve">                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         </w:t>
      </w:r>
      <w:r>
        <w:rPr>
          <w:rFonts w:ascii="宋体" w:hAnsi="宋体" w:eastAsia="宋体" w:cs="宋体"/>
          <w:spacing w:val="-6"/>
          <w:sz w:val="24"/>
          <w:szCs w:val="24"/>
        </w:rPr>
        <w:t>邮政编码：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</w:t>
      </w:r>
    </w:p>
    <w:p w14:paraId="3683992B">
      <w:pPr>
        <w:spacing w:before="179" w:line="220" w:lineRule="auto"/>
        <w:ind w:left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法定代表人或其授权                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  法定代表人或其授权</w:t>
      </w:r>
    </w:p>
    <w:p w14:paraId="5F73D6B6">
      <w:pPr>
        <w:spacing w:before="182" w:line="220" w:lineRule="auto"/>
        <w:ind w:left="50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的代理人</w:t>
      </w:r>
      <w:r>
        <w:rPr>
          <w:rFonts w:ascii="宋体" w:hAnsi="宋体" w:eastAsia="宋体" w:cs="宋体"/>
          <w:spacing w:val="-15"/>
          <w:sz w:val="24"/>
          <w:szCs w:val="24"/>
        </w:rPr>
        <w:t>：</w:t>
      </w:r>
      <w:r>
        <w:rPr>
          <w:rFonts w:ascii="宋体" w:hAnsi="宋体" w:eastAsia="宋体" w:cs="宋体"/>
          <w:spacing w:val="-15"/>
          <w:sz w:val="24"/>
          <w:szCs w:val="24"/>
          <w:u w:val="single" w:color="auto"/>
        </w:rPr>
        <w:t>（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>签字）</w:t>
      </w:r>
      <w:r>
        <w:rPr>
          <w:rFonts w:ascii="宋体" w:hAnsi="宋体" w:eastAsia="宋体" w:cs="宋体"/>
          <w:spacing w:val="24"/>
          <w:sz w:val="24"/>
          <w:szCs w:val="24"/>
          <w:u w:val="single" w:color="auto"/>
        </w:rPr>
        <w:t xml:space="preserve">     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            的代理人</w:t>
      </w:r>
      <w:r>
        <w:rPr>
          <w:rFonts w:ascii="宋体" w:hAnsi="宋体" w:eastAsia="宋体" w:cs="宋体"/>
          <w:spacing w:val="-15"/>
          <w:sz w:val="24"/>
          <w:szCs w:val="24"/>
        </w:rPr>
        <w:t>：</w:t>
      </w:r>
      <w:r>
        <w:rPr>
          <w:rFonts w:ascii="宋体" w:hAnsi="宋体" w:eastAsia="宋体" w:cs="宋体"/>
          <w:spacing w:val="-15"/>
          <w:sz w:val="24"/>
          <w:szCs w:val="24"/>
          <w:u w:val="single" w:color="auto"/>
        </w:rPr>
        <w:t>（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>签字）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</w:t>
      </w:r>
    </w:p>
    <w:p w14:paraId="6635AC2C">
      <w:pPr>
        <w:spacing w:before="182" w:line="221" w:lineRule="auto"/>
        <w:ind w:left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开户银行：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 xml:space="preserve">                 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          开户银行：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                 </w:t>
      </w:r>
    </w:p>
    <w:p w14:paraId="165D662F">
      <w:pPr>
        <w:spacing w:before="178" w:line="222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账号：</w:t>
      </w:r>
      <w:r>
        <w:rPr>
          <w:rFonts w:ascii="宋体" w:hAnsi="宋体" w:eastAsia="宋体" w:cs="宋体"/>
          <w:spacing w:val="5"/>
          <w:sz w:val="24"/>
          <w:szCs w:val="24"/>
          <w:u w:val="single" w:color="auto"/>
        </w:rPr>
        <w:t xml:space="preserve">                     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        </w:t>
      </w:r>
      <w:r>
        <w:rPr>
          <w:rFonts w:ascii="宋体" w:hAnsi="宋体" w:eastAsia="宋体" w:cs="宋体"/>
          <w:spacing w:val="-5"/>
          <w:sz w:val="24"/>
          <w:szCs w:val="24"/>
        </w:rPr>
        <w:t>账号：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   </w:t>
      </w:r>
    </w:p>
    <w:p w14:paraId="63CDB300">
      <w:pPr>
        <w:spacing w:before="180" w:line="222" w:lineRule="auto"/>
        <w:ind w:left="5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电话：</w:t>
      </w:r>
      <w:r>
        <w:rPr>
          <w:rFonts w:ascii="宋体" w:hAnsi="宋体" w:eastAsia="宋体" w:cs="宋体"/>
          <w:spacing w:val="-7"/>
          <w:sz w:val="24"/>
          <w:szCs w:val="24"/>
          <w:u w:val="single" w:color="auto"/>
        </w:rPr>
        <w:t xml:space="preserve">                       </w:t>
      </w:r>
      <w:r>
        <w:rPr>
          <w:rFonts w:ascii="宋体" w:hAnsi="宋体" w:eastAsia="宋体" w:cs="宋体"/>
          <w:spacing w:val="-7"/>
          <w:sz w:val="24"/>
          <w:szCs w:val="24"/>
        </w:rPr>
        <w:t xml:space="preserve">       </w:t>
      </w:r>
      <w:r>
        <w:rPr>
          <w:rFonts w:ascii="宋体" w:hAnsi="宋体" w:eastAsia="宋体" w:cs="宋体"/>
          <w:spacing w:val="-8"/>
          <w:sz w:val="24"/>
          <w:szCs w:val="24"/>
        </w:rPr>
        <w:t xml:space="preserve">   电话：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   </w:t>
      </w:r>
    </w:p>
    <w:p w14:paraId="7BB580A7">
      <w:pPr>
        <w:spacing w:before="177" w:line="219" w:lineRule="auto"/>
        <w:ind w:left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传真：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                   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        </w:t>
      </w:r>
      <w:r>
        <w:rPr>
          <w:rFonts w:ascii="宋体" w:hAnsi="宋体" w:eastAsia="宋体" w:cs="宋体"/>
          <w:spacing w:val="-1"/>
          <w:sz w:val="24"/>
          <w:szCs w:val="24"/>
        </w:rPr>
        <w:t>传真：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   </w:t>
      </w:r>
    </w:p>
    <w:p w14:paraId="0ABF1BD2">
      <w:pPr>
        <w:spacing w:before="183" w:line="221" w:lineRule="auto"/>
        <w:ind w:left="5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电子邮箱：</w:t>
      </w:r>
      <w:r>
        <w:rPr>
          <w:rFonts w:ascii="宋体" w:hAnsi="宋体" w:eastAsia="宋体" w:cs="宋体"/>
          <w:spacing w:val="7"/>
          <w:sz w:val="24"/>
          <w:szCs w:val="24"/>
          <w:u w:val="single" w:color="auto"/>
        </w:rPr>
        <w:t xml:space="preserve">                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         </w:t>
      </w:r>
      <w:r>
        <w:rPr>
          <w:rFonts w:ascii="宋体" w:hAnsi="宋体" w:eastAsia="宋体" w:cs="宋体"/>
          <w:spacing w:val="-8"/>
          <w:sz w:val="24"/>
          <w:szCs w:val="24"/>
        </w:rPr>
        <w:t>电子邮箱：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</w:t>
      </w:r>
    </w:p>
    <w:p w14:paraId="796BD278">
      <w:pPr>
        <w:spacing w:before="181" w:line="360" w:lineRule="auto"/>
        <w:ind w:left="14" w:right="104" w:firstLine="47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注：上述合同仅作为参考文本，合同签订时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双方可根据项目的具体要求进行修订，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实质性内容不得违背招标文件的条款。</w:t>
      </w:r>
    </w:p>
    <w:p w14:paraId="2A712B3B"/>
    <w:sectPr>
      <w:foot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6D1A3">
    <w:pPr>
      <w:spacing w:line="226" w:lineRule="exact"/>
      <w:ind w:left="429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7"/>
        <w:position w:val="1"/>
        <w:sz w:val="18"/>
        <w:szCs w:val="18"/>
      </w:rPr>
      <w:t>105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9F52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C5BCF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660DDC"/>
    <w:rsid w:val="2066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2025-11-04T07:32:00Z</dcterms:created>
  <dc:creator>1211259148</dc:creator>
  <cp:lastModifiedBy>1211259148</cp:lastModifiedBy>
  <dcterms:modified xsi:type="dcterms:W3CDTF">2025-11-04T07:33:34Z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1CCD4F7456AF4CB19333851ABC3AF02C_11</vt:lpwstr>
  </property>
  <property fmtid="{D5CDD505-2E9C-101B-9397-08002B2CF9AE}" pid="4" name="KSOTemplateDocerSaveRecord">
    <vt:lpwstr>eyJoZGlkIjoiN2YzNjBkOTgyNWQ1YTMxYzM3MzMwNWFiODNmOWIzYWMiLCJ1c2VySWQiOiIxMjExMjU5MTQ4In0=</vt:lpwstr>
  </property>
</Properties>
</file>