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版本号：XZMT-2025031C20251112001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全自动多重病原体快速检测仪采购项目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XZMT-2025031C</w:t>
      </w:r>
      <w:r>
        <w:br/>
      </w:r>
      <w:r>
        <w:br/>
      </w:r>
      <w:r>
        <w:br/>
      </w:r>
    </w:p>
    <w:p>
      <w:pPr>
        <w:pStyle w:val="null3"/>
        <w:jc w:val="center"/>
        <w:outlineLvl w:val="2"/>
      </w:pPr>
      <w:r>
        <w:rPr>
          <w:rFonts w:ascii="仿宋_GB2312" w:hAnsi="仿宋_GB2312" w:cs="仿宋_GB2312" w:eastAsia="仿宋_GB2312"/>
          <w:sz w:val="28"/>
          <w:b/>
        </w:rPr>
        <w:t>商洛市疾病预防控制中心</w:t>
      </w:r>
    </w:p>
    <w:p>
      <w:pPr>
        <w:pStyle w:val="null3"/>
        <w:jc w:val="center"/>
        <w:outlineLvl w:val="2"/>
      </w:pPr>
      <w:r>
        <w:rPr>
          <w:rFonts w:ascii="仿宋_GB2312" w:hAnsi="仿宋_GB2312" w:cs="仿宋_GB2312" w:eastAsia="仿宋_GB2312"/>
          <w:sz w:val="28"/>
          <w:b/>
        </w:rPr>
        <w:t>陕西兴正明泰项目管理有限公司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陕西兴正明泰项目管理有限公司</w:t>
      </w:r>
      <w:r>
        <w:rPr>
          <w:rFonts w:ascii="仿宋_GB2312" w:hAnsi="仿宋_GB2312" w:cs="仿宋_GB2312" w:eastAsia="仿宋_GB2312"/>
        </w:rPr>
        <w:t>（以下简称“代理机构”）受</w:t>
      </w:r>
      <w:r>
        <w:rPr>
          <w:rFonts w:ascii="仿宋_GB2312" w:hAnsi="仿宋_GB2312" w:cs="仿宋_GB2312" w:eastAsia="仿宋_GB2312"/>
        </w:rPr>
        <w:t>商洛市疾病预防控制中心</w:t>
      </w:r>
      <w:r>
        <w:rPr>
          <w:rFonts w:ascii="仿宋_GB2312" w:hAnsi="仿宋_GB2312" w:cs="仿宋_GB2312" w:eastAsia="仿宋_GB2312"/>
        </w:rPr>
        <w:t>委托，拟对</w:t>
      </w:r>
      <w:r>
        <w:rPr>
          <w:rFonts w:ascii="仿宋_GB2312" w:hAnsi="仿宋_GB2312" w:cs="仿宋_GB2312" w:eastAsia="仿宋_GB2312"/>
        </w:rPr>
        <w:t>全自动多重病原体快速检测仪采购项目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XZMT-2025031C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全自动多重病原体快速检测仪采购项目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为加强市级微生物实验室检测能力，全面做好我市多病原体核酸哨点监测工作，更高效处置公共卫生突发事件，购置全自动多重病原体核酸检测仪。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采购包1（商洛市疾病预防控制中心全自动多重病原体快速检测仪采购项目）：属于专门面向中小企业采购。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资格证明文件：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供应商需在项目电子化交易系统中按要求上传相应证明文件并进行电子签章。</w:t>
      </w:r>
    </w:p>
    <w:p>
      <w:pPr>
        <w:pStyle w:val="null3"/>
      </w:pPr>
      <w:r>
        <w:rPr>
          <w:rFonts w:ascii="仿宋_GB2312" w:hAnsi="仿宋_GB2312" w:cs="仿宋_GB2312" w:eastAsia="仿宋_GB2312"/>
        </w:rPr>
        <w:t>3、财务状况审查：提供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保缴纳审查：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税收缴纳审查：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6、法定代表人授权委托书审查：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7、无重大违法记录：供应商参加政府采购活动前3年内在经营活动中没有重大违法记录的书面声明；供应商需在项目电子化交易系统中按要求上传相应证明文件并进行电子签章。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9、其他承诺响应：具有履行合同所必需的设备和专业技术能力的承诺书；未为本项目提供整体设计、规范编制或者项目管理、监理、检测等服务的承诺书；供应商需在项目电子化交易系统中按要求上传相应证明文件并进行电子签章。</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10、控股管理关系：单位负责人为同一人或者存在直接控股、管理关系的供应商，不得参加同一合同下的政府采购活动的承诺书；供应商需在项目电子化交易系统中按要求上传相应证明文件并进行电子签章。</w:t>
      </w:r>
    </w:p>
    <w:p>
      <w:pPr>
        <w:pStyle w:val="null3"/>
      </w:pPr>
      <w:r>
        <w:rPr>
          <w:rFonts w:ascii="仿宋_GB2312" w:hAnsi="仿宋_GB2312" w:cs="仿宋_GB2312" w:eastAsia="仿宋_GB2312"/>
        </w:rPr>
        <w:t>11、联合体：本项目不接受联合体投标的承诺书；供应商需在项目电子化交易系统中按要求上传相应证明文件并进行电子签章。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商洛市通信路信息巷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0914-2313563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陕西兴正明泰项目管理有限公司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陕西省商洛市商州区州城路万达广场2号门对面翠湖明珠商住楼西边二楼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任普毅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0914-2251000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代理服务费收费标准：参考《国家发展改革委办公厅颁发的关于招标代理服务费收费有关问题的通知》( 发改办价格〔2002〕1980号)及《调整后的招标代理服务收费标准》(发改价格〔2011〕534号)的有关规定计取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商洛市疾病预防控制中心</w:t>
      </w:r>
      <w:r>
        <w:rPr>
          <w:rFonts w:ascii="仿宋_GB2312" w:hAnsi="仿宋_GB2312" w:cs="仿宋_GB2312" w:eastAsia="仿宋_GB2312"/>
        </w:rPr>
        <w:t>和</w:t>
      </w:r>
      <w:r>
        <w:rPr>
          <w:rFonts w:ascii="仿宋_GB2312" w:hAnsi="仿宋_GB2312" w:cs="仿宋_GB2312" w:eastAsia="仿宋_GB2312"/>
        </w:rPr>
        <w:t>陕西兴正明泰项目管理有限公司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陕西兴正明泰项目管理有限公司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陕西兴正明泰项目管理有限公司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陕西兴正明泰项目管理有限公司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联系人：任普毅</w:t>
      </w:r>
    </w:p>
    <w:p>
      <w:pPr>
        <w:pStyle w:val="null3"/>
      </w:pPr>
      <w:r>
        <w:rPr>
          <w:rFonts w:ascii="仿宋_GB2312" w:hAnsi="仿宋_GB2312" w:cs="仿宋_GB2312" w:eastAsia="仿宋_GB2312"/>
        </w:rPr>
        <w:t>联系电话：0914-2251000</w:t>
      </w:r>
    </w:p>
    <w:p>
      <w:pPr>
        <w:pStyle w:val="null3"/>
      </w:pPr>
      <w:r>
        <w:rPr>
          <w:rFonts w:ascii="仿宋_GB2312" w:hAnsi="仿宋_GB2312" w:cs="仿宋_GB2312" w:eastAsia="仿宋_GB2312"/>
        </w:rPr>
        <w:t>地址：陕西省商洛市商州区州城路万达广场2号门对面翠湖明珠商住楼西边二楼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为加强市级微生物实验室检测能力，全面做好我市多病原体核酸哨点监测工作，更高效处置公共卫生突发事件，购置全自动多重病原体核酸检测仪。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全自动多重病原体快速检测仪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标的名称：全自动多重病原体快速检测仪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全自动</w:t>
            </w:r>
            <w:r>
              <w:rPr>
                <w:rFonts w:ascii="仿宋_GB2312" w:hAnsi="仿宋_GB2312" w:cs="仿宋_GB2312" w:eastAsia="仿宋_GB2312"/>
                <w:sz w:val="21"/>
                <w:b/>
              </w:rPr>
              <w:t>多重病原体检测仪参数</w:t>
            </w:r>
          </w:p>
          <w:p>
            <w:pPr>
              <w:pStyle w:val="null3"/>
              <w:jc w:val="both"/>
            </w:pPr>
            <w:r>
              <w:rPr>
                <w:rFonts w:ascii="仿宋_GB2312" w:hAnsi="仿宋_GB2312" w:cs="仿宋_GB2312" w:eastAsia="仿宋_GB2312"/>
                <w:sz w:val="24"/>
                <w:b/>
              </w:rPr>
              <w:t>（一）设备采购清单</w:t>
            </w:r>
          </w:p>
          <w:tbl>
            <w:tblPr>
              <w:tblInd w:type="dxa" w:w="315"/>
              <w:tblBorders>
                <w:top w:val="none" w:color="000000" w:sz="4"/>
                <w:left w:val="none" w:color="000000" w:sz="4"/>
                <w:bottom w:val="none" w:color="000000" w:sz="4"/>
                <w:right w:val="none" w:color="000000" w:sz="4"/>
                <w:insideH w:val="none"/>
                <w:insideV w:val="none"/>
              </w:tblBorders>
            </w:tblPr>
            <w:tblGrid>
              <w:gridCol w:w="559"/>
              <w:gridCol w:w="901"/>
              <w:gridCol w:w="1092"/>
            </w:tblGrid>
            <w:tr>
              <w:tc>
                <w:tcPr>
                  <w:tcW w:type="dxa" w:w="55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类型</w:t>
                  </w:r>
                </w:p>
              </w:tc>
              <w:tc>
                <w:tcPr>
                  <w:tcW w:type="dxa" w:w="90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设备名称</w:t>
                  </w:r>
                </w:p>
              </w:tc>
              <w:tc>
                <w:tcPr>
                  <w:tcW w:type="dxa" w:w="109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数量</w:t>
                  </w:r>
                </w:p>
              </w:tc>
            </w:tr>
            <w:tr>
              <w:tc>
                <w:tcPr>
                  <w:tcW w:type="dxa" w:w="5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其他医疗设备</w:t>
                  </w:r>
                </w:p>
              </w:tc>
              <w:tc>
                <w:tcPr>
                  <w:tcW w:type="dxa" w:w="90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color w:val="333333"/>
                    </w:rPr>
                    <w:t>全自动多重病原体检测仪</w:t>
                  </w:r>
                </w:p>
              </w:tc>
              <w:tc>
                <w:tcPr>
                  <w:tcW w:type="dxa" w:w="109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1台</w:t>
                  </w:r>
                </w:p>
              </w:tc>
            </w:tr>
          </w:tbl>
          <w:p>
            <w:pPr>
              <w:pStyle w:val="null3"/>
              <w:jc w:val="both"/>
            </w:pPr>
            <w:r>
              <w:rPr>
                <w:rFonts w:ascii="仿宋_GB2312" w:hAnsi="仿宋_GB2312" w:cs="仿宋_GB2312" w:eastAsia="仿宋_GB2312"/>
                <w:sz w:val="24"/>
                <w:b/>
              </w:rPr>
              <w:t>（二）设备技术参数及要求</w:t>
            </w:r>
          </w:p>
          <w:p>
            <w:pPr>
              <w:pStyle w:val="null3"/>
              <w:jc w:val="both"/>
            </w:pPr>
            <w:r>
              <w:rPr>
                <w:rFonts w:ascii="仿宋_GB2312" w:hAnsi="仿宋_GB2312" w:cs="仿宋_GB2312" w:eastAsia="仿宋_GB2312"/>
                <w:sz w:val="21"/>
              </w:rPr>
              <w:t>1、主要用途</w:t>
            </w:r>
            <w:r>
              <w:rPr>
                <w:rFonts w:ascii="仿宋_GB2312" w:hAnsi="仿宋_GB2312" w:cs="仿宋_GB2312" w:eastAsia="仿宋_GB2312"/>
                <w:sz w:val="21"/>
              </w:rPr>
              <w:t>：</w:t>
            </w:r>
            <w:r>
              <w:rPr>
                <w:rFonts w:ascii="仿宋_GB2312" w:hAnsi="仿宋_GB2312" w:cs="仿宋_GB2312" w:eastAsia="仿宋_GB2312"/>
                <w:sz w:val="21"/>
              </w:rPr>
              <w:t>用于提升多病原快速核酸检测能力，主要用于多重呼吸道病原体核酸检测、多重腹泻病原体核酸检测、多重蚊媒传播病原体核酸检测</w:t>
            </w:r>
            <w:r>
              <w:rPr>
                <w:rFonts w:ascii="仿宋_GB2312" w:hAnsi="仿宋_GB2312" w:cs="仿宋_GB2312" w:eastAsia="仿宋_GB2312"/>
                <w:sz w:val="21"/>
              </w:rPr>
              <w:t>等</w:t>
            </w:r>
            <w:r>
              <w:rPr>
                <w:rFonts w:ascii="仿宋_GB2312" w:hAnsi="仿宋_GB2312" w:cs="仿宋_GB2312" w:eastAsia="仿宋_GB2312"/>
                <w:sz w:val="21"/>
              </w:rPr>
              <w:t>各种多病原体核酸检测。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样本通量：</w:t>
            </w:r>
            <w:r>
              <w:rPr>
                <w:rFonts w:ascii="仿宋_GB2312" w:hAnsi="仿宋_GB2312" w:cs="仿宋_GB2312" w:eastAsia="仿宋_GB2312"/>
                <w:sz w:val="21"/>
              </w:rPr>
              <w:t>≥8个样本/批。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荧光通道：具有至少</w:t>
            </w:r>
            <w:r>
              <w:rPr>
                <w:rFonts w:ascii="仿宋_GB2312" w:hAnsi="仿宋_GB2312" w:cs="仿宋_GB2312" w:eastAsia="仿宋_GB2312"/>
                <w:sz w:val="21"/>
              </w:rPr>
              <w:t>6色荧光通道，涵盖FAM/SYBR Green I、</w:t>
            </w:r>
            <w:r>
              <w:rPr>
                <w:rFonts w:ascii="仿宋_GB2312" w:hAnsi="仿宋_GB2312" w:cs="仿宋_GB2312" w:eastAsia="仿宋_GB2312"/>
                <w:sz w:val="21"/>
              </w:rPr>
              <w:t>JOE、TET</w:t>
            </w:r>
            <w:r>
              <w:rPr>
                <w:rFonts w:ascii="仿宋_GB2312" w:hAnsi="仿宋_GB2312" w:cs="仿宋_GB2312" w:eastAsia="仿宋_GB2312"/>
                <w:sz w:val="21"/>
              </w:rPr>
              <w:t>、</w:t>
            </w:r>
            <w:r>
              <w:rPr>
                <w:rFonts w:ascii="仿宋_GB2312" w:hAnsi="仿宋_GB2312" w:cs="仿宋_GB2312" w:eastAsia="仿宋_GB2312"/>
                <w:sz w:val="21"/>
              </w:rPr>
              <w:t>VIC/HEX、ROX/Texas-Red、Cy5、Atto425、CY5.5</w:t>
            </w:r>
            <w:r>
              <w:rPr>
                <w:rFonts w:ascii="仿宋_GB2312" w:hAnsi="仿宋_GB2312" w:cs="仿宋_GB2312" w:eastAsia="仿宋_GB2312"/>
                <w:sz w:val="21"/>
              </w:rPr>
              <w:t>、</w:t>
            </w:r>
            <w:r>
              <w:rPr>
                <w:rFonts w:ascii="仿宋_GB2312" w:hAnsi="仿宋_GB2312" w:cs="仿宋_GB2312" w:eastAsia="仿宋_GB2312"/>
                <w:sz w:val="21"/>
              </w:rPr>
              <w:t>AF405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检测原理：采用磁珠法进行核酸提取纯化，并结合实时荧光定量</w:t>
            </w:r>
            <w:r>
              <w:rPr>
                <w:rFonts w:ascii="仿宋_GB2312" w:hAnsi="仿宋_GB2312" w:cs="仿宋_GB2312" w:eastAsia="仿宋_GB2312"/>
                <w:sz w:val="21"/>
              </w:rPr>
              <w:t>PCR技术，保证结果准确性。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主要</w:t>
            </w:r>
            <w:r>
              <w:rPr>
                <w:rFonts w:ascii="仿宋_GB2312" w:hAnsi="仿宋_GB2312" w:cs="仿宋_GB2312" w:eastAsia="仿宋_GB2312"/>
                <w:sz w:val="21"/>
              </w:rPr>
              <w:t>功能</w:t>
            </w:r>
            <w:r>
              <w:rPr>
                <w:rFonts w:ascii="仿宋_GB2312" w:hAnsi="仿宋_GB2312" w:cs="仿宋_GB2312" w:eastAsia="仿宋_GB2312"/>
                <w:sz w:val="21"/>
              </w:rPr>
              <w:t>: 核酸提取、PCR扩增、多靶标荧光</w:t>
            </w:r>
            <w:r>
              <w:rPr>
                <w:rFonts w:ascii="仿宋_GB2312" w:hAnsi="仿宋_GB2312" w:cs="仿宋_GB2312" w:eastAsia="仿宋_GB2312"/>
                <w:sz w:val="21"/>
              </w:rPr>
              <w:t>PCR</w:t>
            </w:r>
            <w:r>
              <w:rPr>
                <w:rFonts w:ascii="仿宋_GB2312" w:hAnsi="仿宋_GB2312" w:cs="仿宋_GB2312" w:eastAsia="仿宋_GB2312"/>
                <w:sz w:val="21"/>
              </w:rPr>
              <w:t>检测、智能判读</w:t>
            </w:r>
            <w:r>
              <w:rPr>
                <w:rFonts w:ascii="仿宋_GB2312" w:hAnsi="仿宋_GB2312" w:cs="仿宋_GB2312" w:eastAsia="仿宋_GB2312"/>
                <w:sz w:val="21"/>
              </w:rPr>
              <w:t>等功能</w:t>
            </w:r>
            <w:r>
              <w:rPr>
                <w:rFonts w:ascii="仿宋_GB2312" w:hAnsi="仿宋_GB2312" w:cs="仿宋_GB2312" w:eastAsia="仿宋_GB2312"/>
                <w:sz w:val="21"/>
              </w:rPr>
              <w:t>在一台仪器</w:t>
            </w:r>
            <w:r>
              <w:rPr>
                <w:rFonts w:ascii="仿宋_GB2312" w:hAnsi="仿宋_GB2312" w:cs="仿宋_GB2312" w:eastAsia="仿宋_GB2312"/>
                <w:sz w:val="21"/>
              </w:rPr>
              <w:t>全自动完成，</w:t>
            </w:r>
            <w:r>
              <w:rPr>
                <w:rFonts w:ascii="仿宋_GB2312" w:hAnsi="仿宋_GB2312" w:cs="仿宋_GB2312" w:eastAsia="仿宋_GB2312"/>
                <w:sz w:val="21"/>
              </w:rPr>
              <w:t>实现</w:t>
            </w:r>
            <w:r>
              <w:rPr>
                <w:rFonts w:ascii="仿宋_GB2312" w:hAnsi="仿宋_GB2312" w:cs="仿宋_GB2312" w:eastAsia="仿宋_GB2312"/>
                <w:sz w:val="21"/>
              </w:rPr>
              <w:t>“样本进-结果出”。</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检测时间：每批次检测时间</w:t>
            </w:r>
            <w:r>
              <w:rPr>
                <w:rFonts w:ascii="仿宋_GB2312" w:hAnsi="仿宋_GB2312" w:cs="仿宋_GB2312" w:eastAsia="仿宋_GB2312"/>
                <w:sz w:val="21"/>
              </w:rPr>
              <w:t>≤2小时。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样本类型：</w:t>
            </w:r>
            <w:r>
              <w:rPr>
                <w:rFonts w:ascii="仿宋_GB2312" w:hAnsi="仿宋_GB2312" w:cs="仿宋_GB2312" w:eastAsia="仿宋_GB2312"/>
                <w:sz w:val="21"/>
              </w:rPr>
              <w:t>血浆、血清、全血、拭子洗涤液</w:t>
            </w:r>
            <w:r>
              <w:rPr>
                <w:rFonts w:ascii="仿宋_GB2312" w:hAnsi="仿宋_GB2312" w:cs="仿宋_GB2312" w:eastAsia="仿宋_GB2312"/>
                <w:sz w:val="21"/>
              </w:rPr>
              <w:t>、等多种样本类型。</w:t>
            </w:r>
          </w:p>
          <w:p>
            <w:pPr>
              <w:pStyle w:val="null3"/>
              <w:jc w:val="both"/>
            </w:pPr>
            <w:r>
              <w:rPr>
                <w:rFonts w:ascii="仿宋_GB2312" w:hAnsi="仿宋_GB2312" w:cs="仿宋_GB2312" w:eastAsia="仿宋_GB2312"/>
                <w:sz w:val="21"/>
              </w:rPr>
              <w:t>8、移液范围：5ul~250ul。</w:t>
            </w:r>
            <w:r>
              <w:rPr>
                <w:rFonts w:ascii="仿宋_GB2312" w:hAnsi="仿宋_GB2312" w:cs="仿宋_GB2312" w:eastAsia="仿宋_GB2312"/>
                <w:sz w:val="21"/>
                <w:color w:val="000000"/>
              </w:rPr>
              <w:t>超过</w:t>
            </w:r>
            <w:r>
              <w:rPr>
                <w:rFonts w:ascii="仿宋_GB2312" w:hAnsi="仿宋_GB2312" w:cs="仿宋_GB2312" w:eastAsia="仿宋_GB2312"/>
                <w:sz w:val="21"/>
                <w:color w:val="000000"/>
              </w:rPr>
              <w:t>250</w:t>
            </w:r>
            <w:r>
              <w:rPr>
                <w:rFonts w:ascii="仿宋_GB2312" w:hAnsi="仿宋_GB2312" w:cs="仿宋_GB2312" w:eastAsia="仿宋_GB2312"/>
                <w:sz w:val="21"/>
                <w:color w:val="000000"/>
              </w:rPr>
              <w:t>ul</w:t>
            </w:r>
            <w:r>
              <w:rPr>
                <w:rFonts w:ascii="仿宋_GB2312" w:hAnsi="仿宋_GB2312" w:cs="仿宋_GB2312" w:eastAsia="仿宋_GB2312"/>
                <w:sz w:val="21"/>
                <w:color w:val="000000"/>
              </w:rPr>
              <w:t>可自动分多次操作。</w:t>
            </w:r>
            <w:r>
              <w:rPr>
                <w:rFonts w:ascii="仿宋_GB2312" w:hAnsi="仿宋_GB2312" w:cs="仿宋_GB2312" w:eastAsia="仿宋_GB2312"/>
                <w:sz w:val="21"/>
                <w:color w:val="000000"/>
              </w:rPr>
              <w:t>上样体积：</w:t>
            </w:r>
            <w:r>
              <w:rPr>
                <w:rFonts w:ascii="仿宋_GB2312" w:hAnsi="仿宋_GB2312" w:cs="仿宋_GB2312" w:eastAsia="仿宋_GB2312"/>
                <w:sz w:val="21"/>
                <w:color w:val="000000"/>
              </w:rPr>
              <w:t>200</w:t>
            </w:r>
            <w:r>
              <w:rPr>
                <w:rFonts w:ascii="仿宋_GB2312" w:hAnsi="仿宋_GB2312" w:cs="仿宋_GB2312" w:eastAsia="仿宋_GB2312"/>
                <w:sz w:val="21"/>
                <w:color w:val="000000"/>
              </w:rPr>
              <w:t>ul</w:t>
            </w:r>
            <w:r>
              <w:rPr>
                <w:rFonts w:ascii="仿宋_GB2312" w:hAnsi="仿宋_GB2312" w:cs="仿宋_GB2312" w:eastAsia="仿宋_GB2312"/>
                <w:sz w:val="21"/>
              </w:rPr>
              <w:t>~</w:t>
            </w:r>
            <w:r>
              <w:rPr>
                <w:rFonts w:ascii="仿宋_GB2312" w:hAnsi="仿宋_GB2312" w:cs="仿宋_GB2312" w:eastAsia="仿宋_GB2312"/>
                <w:sz w:val="21"/>
                <w:color w:val="000000"/>
              </w:rPr>
              <w:t>400</w:t>
            </w:r>
            <w:r>
              <w:rPr>
                <w:rFonts w:ascii="仿宋_GB2312" w:hAnsi="仿宋_GB2312" w:cs="仿宋_GB2312" w:eastAsia="仿宋_GB2312"/>
                <w:sz w:val="21"/>
                <w:color w:val="000000"/>
              </w:rPr>
              <w:t>ul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rPr>
              <w:t>9、仪器升降温速度：</w:t>
            </w:r>
            <w:r>
              <w:rPr>
                <w:rFonts w:ascii="仿宋_GB2312" w:hAnsi="仿宋_GB2312" w:cs="仿宋_GB2312" w:eastAsia="仿宋_GB2312"/>
                <w:sz w:val="21"/>
              </w:rPr>
              <w:t>平均升温速率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8℃/s</w:t>
            </w:r>
            <w:r>
              <w:rPr>
                <w:rFonts w:ascii="仿宋_GB2312" w:hAnsi="仿宋_GB2312" w:cs="仿宋_GB2312" w:eastAsia="仿宋_GB2312"/>
                <w:sz w:val="21"/>
              </w:rPr>
              <w:t>；</w:t>
            </w:r>
            <w:r>
              <w:rPr>
                <w:rFonts w:ascii="仿宋_GB2312" w:hAnsi="仿宋_GB2312" w:cs="仿宋_GB2312" w:eastAsia="仿宋_GB2312"/>
                <w:sz w:val="21"/>
              </w:rPr>
              <w:t>平均降温速率</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5℃/s;</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控温精度</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 xml:space="preserve"> </w:t>
            </w:r>
            <w:r>
              <w:rPr>
                <w:rFonts w:ascii="仿宋_GB2312" w:hAnsi="仿宋_GB2312" w:cs="仿宋_GB2312" w:eastAsia="仿宋_GB2312"/>
                <w:sz w:val="21"/>
              </w:rPr>
              <w:t>温度准确性</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0.1℃;温度均匀性: 温度差</w:t>
            </w:r>
            <w:r>
              <w:rPr>
                <w:rFonts w:ascii="仿宋_GB2312" w:hAnsi="仿宋_GB2312" w:cs="仿宋_GB2312" w:eastAsia="仿宋_GB2312"/>
                <w:sz w:val="21"/>
              </w:rPr>
              <w:t>≤±</w:t>
            </w:r>
            <w:r>
              <w:rPr>
                <w:rFonts w:ascii="仿宋_GB2312" w:hAnsi="仿宋_GB2312" w:cs="仿宋_GB2312" w:eastAsia="仿宋_GB2312"/>
                <w:sz w:val="21"/>
              </w:rPr>
              <w:t>0.1℃。</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多重检测：支持呼吸道症候群、腹泻症候群等多病原检测项目，每个样本孔位可实现</w:t>
            </w:r>
            <w:r>
              <w:rPr>
                <w:rFonts w:ascii="仿宋_GB2312" w:hAnsi="仿宋_GB2312" w:cs="仿宋_GB2312" w:eastAsia="仿宋_GB2312"/>
                <w:sz w:val="21"/>
              </w:rPr>
              <w:t>≥48个靶标同时检测。可配套多种多重核酸检测试剂盒，如</w:t>
            </w:r>
            <w:r>
              <w:rPr>
                <w:rFonts w:ascii="仿宋_GB2312" w:hAnsi="仿宋_GB2312" w:cs="仿宋_GB2312" w:eastAsia="仿宋_GB2312"/>
                <w:sz w:val="21"/>
              </w:rPr>
              <w:t>四大症候群多病原监测，</w:t>
            </w:r>
            <w:r>
              <w:rPr>
                <w:rFonts w:ascii="仿宋_GB2312" w:hAnsi="仿宋_GB2312" w:cs="仿宋_GB2312" w:eastAsia="仿宋_GB2312"/>
                <w:sz w:val="21"/>
              </w:rPr>
              <w:t>急性呼吸道传染病哨点监测方案配套试剂盒以及国家致病菌识别网监测方案试剂盒</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12、可同时检测病原体 DNA 与 RNA 两种核酸。</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结果判读：人工或自动判读，实现仪器软件自动判读且自动生成报告，无需外接电脑或类似设备。</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负压</w:t>
            </w:r>
            <w:r>
              <w:rPr>
                <w:rFonts w:ascii="仿宋_GB2312" w:hAnsi="仿宋_GB2312" w:cs="仿宋_GB2312" w:eastAsia="仿宋_GB2312"/>
                <w:sz w:val="21"/>
              </w:rPr>
              <w:t>HEPA过滤系统：良好的进、出风及内部风路设计，配合实验过程中自动风量控制，形成定向排风及内部负压仪器，出风口装有可拆卸的HEPA过滤网，有效进行排风过滤；</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紫外消毒：舱内配有两个臭氧紫外消毒灯，确保机身内所有区域无死角紫外消毒；</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试剂</w:t>
            </w:r>
            <w:r>
              <w:rPr>
                <w:rFonts w:ascii="仿宋_GB2312" w:hAnsi="仿宋_GB2312" w:cs="仿宋_GB2312" w:eastAsia="仿宋_GB2312"/>
                <w:sz w:val="21"/>
              </w:rPr>
              <w:t>耗材：可以适配同品牌或其他品牌配套预分装好的</w:t>
            </w:r>
            <w:r>
              <w:rPr>
                <w:rFonts w:ascii="仿宋_GB2312" w:hAnsi="仿宋_GB2312" w:cs="仿宋_GB2312" w:eastAsia="仿宋_GB2312"/>
                <w:sz w:val="21"/>
              </w:rPr>
              <w:t>多病原</w:t>
            </w:r>
            <w:r>
              <w:rPr>
                <w:rFonts w:ascii="仿宋_GB2312" w:hAnsi="仿宋_GB2312" w:cs="仿宋_GB2312" w:eastAsia="仿宋_GB2312"/>
                <w:sz w:val="21"/>
              </w:rPr>
              <w:t>核酸</w:t>
            </w:r>
            <w:r>
              <w:rPr>
                <w:rFonts w:ascii="仿宋_GB2312" w:hAnsi="仿宋_GB2312" w:cs="仿宋_GB2312" w:eastAsia="仿宋_GB2312"/>
                <w:sz w:val="21"/>
              </w:rPr>
              <w:t>检测试剂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提供原厂免费质保</w:t>
            </w:r>
            <w:r>
              <w:rPr>
                <w:rFonts w:ascii="仿宋_GB2312" w:hAnsi="仿宋_GB2312" w:cs="仿宋_GB2312" w:eastAsia="仿宋_GB2312"/>
                <w:sz w:val="21"/>
              </w:rPr>
              <w:t>≥1年，终身免费维护。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自合同签订后7日历天内安装调试完毕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（1）本次采购无预付款。 （2）经项目管理单位验收合格，一次性支付合同总价款的100%。 （3）结算单位：由甲方负责结算，乙方开具合同总价数的全额发票交采购人</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协商，法律途径解决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资格证明文件</w:t>
            </w:r>
          </w:p>
        </w:tc>
        <w:tc>
          <w:tcPr>
            <w:tcW w:type="dxa" w:w="3322"/>
          </w:tcPr>
          <w:p>
            <w:pPr>
              <w:pStyle w:val="null3"/>
            </w:pPr>
            <w:r>
              <w:rPr>
                <w:rFonts w:ascii="仿宋_GB2312" w:hAnsi="仿宋_GB2312" w:cs="仿宋_GB2312" w:eastAsia="仿宋_GB2312"/>
              </w:rPr>
              <w:t>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未为本项目提供整体设计、规范编制或者项目管理、监理、检测等服务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标的清单 备品备件报价表.docx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类似项目业绩一览表.docx 中小企业声明函 商务应答表 产品技术参数表 法定代表人身份证明书.docx 供应商应提交的相关资格证明材料.docx 投标函 残疾人福利性单位声明函 标的清单 投标文件封面 备品备件报价表.docx 法定代表人授权委托书.docx 服务方案.docx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技术项完全满足招标文件技术指标要求的，得30分，每负偏离一项扣0.5分，扣完为止。 注：未按招标文件要求提供相关检验报告或者证明的都视为负偏离（如应答时缺项，则视同负偏离处理）。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 ① 实施计划：② 供货、安装、调试方案：③ 验收措施：④ 物力调配的相应保障措施。 二、评审标准 1、完整性：方案须全面，对评审内容中的各项要求描述详细； 2、可实施性：切合本项目实际情况，实施步骤清晰、合理； 3、针对性：方案能够紧扣项目实际情况，内容科学合理。 三、赋分依据（满分 12 分） ①实施计划：每完全满足一个评审标准得 1 分，满分 3 分； ②供货、安装、调试方案:每完全满足一个评审标准得 1 分，满分 3 分； ③验收措施:每完全满足一个评审标准得 1 分，满分 3 分； ④物力调配的相应保障措施：每完全满足一个评审标准得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产品质量保障措施</w:t>
            </w:r>
          </w:p>
        </w:tc>
        <w:tc>
          <w:tcPr>
            <w:tcW w:type="dxa" w:w="2492"/>
          </w:tcPr>
          <w:p>
            <w:pPr>
              <w:pStyle w:val="null3"/>
            </w:pPr>
            <w:r>
              <w:rPr>
                <w:rFonts w:ascii="仿宋_GB2312" w:hAnsi="仿宋_GB2312" w:cs="仿宋_GB2312" w:eastAsia="仿宋_GB2312"/>
              </w:rPr>
              <w:t>一、评审内容 根据本项目实际需求及特点，提出产品质量保障措施，包括： ①质量控制目标②质量控制流程③质量保障计划。 二、评审标准 1、完整性：内容完整，包含全部评审内容，无缺漏； 2、可实施性：内容描述合理，逻辑性强，符合行业规范； 3、针对性：内容切合本项目实际情况，考虑到本项目采购内容、工期、场地、人员协调、外部因素等情况。 三、赋分标准（满分4.5分） ① 质量控制目标：每满足一项评审标准得0.5分，满分1.5分； ② 质量控制流程：每满足一项评审标准得0.5分，满分1.5分； ③ 质量保障计划：每满足一项评审标准得0.5分，满分1.5分。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 使用过程中能熟练操作、维护和正常使用，培训方案内容包含①培训内容②培训计划安排。 二、评审标准 1、完整性：切合本项目实际情况，方案内容齐全，对招标文件中 各项要求有详细描述及其他内容的补充； 2、科学性：切合本项目实际情况，叙述清楚，符合客观实际情况； 3、合理性：方案内容符合项目实际特点，合理、恰当。 三、赋分依据（满分 3 分） ①培训内容：每完全满足一个评审标准得 0.5 分，满分 1.5 分； ②培训计划安排：每完全满足一个评审标准得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①售后服务范围及保障措施 ②故障处理措施 ③售后回访巡检计划 二、评审标准 1.完整性：方案须全面，对评审内容中的各项要求有详细描述； 2.可实施性：切合本项目实际情况，提出步骤清晰、合理的方案； 3.针对性：方案能够紧扣项目实际情况，内容科学合理。 三、赋分依据（满分4.5分） ①售后服务范围及保障措施：每完全满足一个评审标准得0.5分， 满分1.5分； ②故障处理措施: :每完全满足一个评审标准得0.5分，满分1.5分； ③售后回访巡检计划：每完全满足一个评审标准得0.5分，满分 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提供设备及备品配件发生故障后的应急预案，包含但不限于响应时间、补救方案等内容。 措施详细、具体，内容齐全，针对性强，可行性强，满足项目需求，得4分； 措施内容较齐全，较有针对性，较有可行性，得2分； 措施内容基本齐全，基本可行，得1分。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质保期及其他承诺</w:t>
            </w:r>
          </w:p>
        </w:tc>
        <w:tc>
          <w:tcPr>
            <w:tcW w:type="dxa" w:w="2492"/>
          </w:tcPr>
          <w:p>
            <w:pPr>
              <w:pStyle w:val="null3"/>
            </w:pPr>
            <w:r>
              <w:rPr>
                <w:rFonts w:ascii="仿宋_GB2312" w:hAnsi="仿宋_GB2312" w:cs="仿宋_GB2312" w:eastAsia="仿宋_GB2312"/>
              </w:rPr>
              <w:t>1、承诺质保期高于招标文件要求的，每增加一年得 1 分，满分2分。无承诺不得分。 2、投标人针对本项目提供其他有利于本项目开展的承诺，每提供一条得1分，满分5分。不承诺不得分。 评审依据：投标文件中提供加盖投标人公章的承诺函 （须明确质保年限），否则不得分。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相关业绩</w:t>
            </w:r>
          </w:p>
        </w:tc>
        <w:tc>
          <w:tcPr>
            <w:tcW w:type="dxa" w:w="2492"/>
          </w:tcPr>
          <w:p>
            <w:pPr>
              <w:pStyle w:val="null3"/>
            </w:pPr>
            <w:r>
              <w:rPr>
                <w:rFonts w:ascii="仿宋_GB2312" w:hAnsi="仿宋_GB2312" w:cs="仿宋_GB2312" w:eastAsia="仿宋_GB2312"/>
              </w:rPr>
              <w:t>投标人每提供一份2022年1月1日至今同类项目供货业绩计1分，最高得5分。注：①业绩以合同为准，时间以合同签订时间为准。②需提供完整合同扫描件。评审依据：提供合同复印件并加盖投标人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详见附件：备品备件报价表.docx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