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版本号：SDZC2025-173.1B120251114001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两轮车辆停车场建设项目(二次)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SDZC2025-173.1B1</w:t>
      </w:r>
      <w:r>
        <w:br/>
      </w:r>
      <w:r>
        <w:br/>
      </w:r>
      <w:r>
        <w:br/>
      </w:r>
    </w:p>
    <w:p>
      <w:pPr>
        <w:pStyle w:val="null3"/>
        <w:jc w:val="center"/>
        <w:outlineLvl w:val="2"/>
      </w:pPr>
      <w:r>
        <w:rPr>
          <w:rFonts w:ascii="仿宋_GB2312" w:hAnsi="仿宋_GB2312" w:cs="仿宋_GB2312" w:eastAsia="仿宋_GB2312"/>
          <w:sz w:val="28"/>
          <w:b/>
        </w:rPr>
        <w:t>商洛市中心医院</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商洛市中心医院</w:t>
      </w:r>
      <w:r>
        <w:rPr>
          <w:rFonts w:ascii="仿宋_GB2312" w:hAnsi="仿宋_GB2312" w:cs="仿宋_GB2312" w:eastAsia="仿宋_GB2312"/>
        </w:rPr>
        <w:t>委托，拟对</w:t>
      </w:r>
      <w:r>
        <w:rPr>
          <w:rFonts w:ascii="仿宋_GB2312" w:hAnsi="仿宋_GB2312" w:cs="仿宋_GB2312" w:eastAsia="仿宋_GB2312"/>
        </w:rPr>
        <w:t>两轮车辆停车场建设项目(二次)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SDZC2025-173.1B1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两轮车辆停车场建设项目(二次)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为提升医院基础设施建设，切实改善院区交通秩序，保证消防安全通道畅通，优化患者就医体验，完成院东侧两轮车辆停车场建设工作。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2、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8、企业资质：具有建设行政主管部门颁发的建筑工程施工总承包或市政公用工程施工总承包三级以上（含三级）资质，同时具有合格有效的安全生产许可证；</w:t>
      </w:r>
    </w:p>
    <w:p>
      <w:pPr>
        <w:pStyle w:val="null3"/>
      </w:pPr>
      <w:r>
        <w:rPr>
          <w:rFonts w:ascii="仿宋_GB2312" w:hAnsi="仿宋_GB2312" w:cs="仿宋_GB2312" w:eastAsia="仿宋_GB2312"/>
        </w:rPr>
        <w:t>9、 项目经理：拟派项目经理须具备建筑工程专业或市政工程专业二级以上（含二级）注册建造师证书和有效的安全生产考核证书（B证），在本单位注册，提供无在建工程承诺书；</w:t>
      </w:r>
    </w:p>
    <w:p>
      <w:pPr>
        <w:pStyle w:val="null3"/>
      </w:pPr>
      <w:r>
        <w:rPr>
          <w:rFonts w:ascii="仿宋_GB2312" w:hAnsi="仿宋_GB2312" w:cs="仿宋_GB2312" w:eastAsia="仿宋_GB2312"/>
        </w:rPr>
        <w:t>10、投标保证金交纳凭证：投标保证金交纳凭证或担保函（投标保证交纳金凭证为银行凭证及基本账户证明资料，担保函为财政部门认可的政府采购信用担保机构出具）；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11、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12、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陕西省商洛市商鞅大道37号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商洛市中心医院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0914-2180023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 （张家堡转盘东南角）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曹幸（3号工位）、魏蕾、张富红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采购包1：2,843,400.00元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 1151 0000 0135 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转813、814备注：供应商在汇款时须注明项目编号+项目简称</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商洛市中心医院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验收标准按照国家、行业有关规范和要求执行。 1.验收流程 1.1项目在竣工后，成交人应向采购人提交工程竣工报告，申请工程竣工验收，并将施工过程中相关资料提交采购人。 1.2采购人收到工程竣工报告后，对符合竣工验收要求的工程，组织相关单位和其他有关方面的专家组成验收组共同验收，签署的工程竣工验收意见。 1.3验收合格后，采购人出具《工程竣工验收报告》，并在建设行政主管部门备案。 1.4验收不合格的成交单位，必须在接到通知后7个日历日内确保工程通过验收。如接到通知后7个日历日内验收仍不合格，采购人可提出索赔或取消其施工合同。 2.验收标准按照国家、行业有关规范和要求执行。 3.成交人承诺完全达到国家有关部门验收标准，并全部通过验收为交付使用的基本条件，验收过程中的一切费用由成交供应商承担。 4.验收依据 4.1合同文本及合同补充文件（条款）。4.2磋商文件。4.3磋商响应文件。4.4工程量清单。4.5建筑工程施工质量验收统一标准。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联系人：曹幸（3号工位）、魏蕾</w:t>
      </w:r>
    </w:p>
    <w:p>
      <w:pPr>
        <w:pStyle w:val="null3"/>
      </w:pPr>
      <w:r>
        <w:rPr>
          <w:rFonts w:ascii="仿宋_GB2312" w:hAnsi="仿宋_GB2312" w:cs="仿宋_GB2312" w:eastAsia="仿宋_GB2312"/>
        </w:rPr>
        <w:t>联系电话：029-86673953、86518381、89299829、89293231转803</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2,843,400.00</w:t>
      </w:r>
    </w:p>
    <w:p>
      <w:pPr>
        <w:pStyle w:val="null3"/>
      </w:pPr>
      <w:r>
        <w:rPr>
          <w:rFonts w:ascii="仿宋_GB2312" w:hAnsi="仿宋_GB2312" w:cs="仿宋_GB2312" w:eastAsia="仿宋_GB2312"/>
        </w:rPr>
        <w:t>采购包最高限价（元）: 2,708,701.35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2843400.00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2,843,400.00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标的名称：2843400.00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工程量清单详见附件</w:t>
            </w:r>
            <w:r>
              <w:rPr>
                <w:rFonts w:ascii="仿宋_GB2312" w:hAnsi="仿宋_GB2312" w:cs="仿宋_GB2312" w:eastAsia="仿宋_GB2312"/>
                <w:sz w:val="24"/>
              </w:rPr>
              <w:t>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2.成交人应配合项目建设进度,向采购人提供施工组织计划、进度计划和施工作业计划，并签订施工安全责任书。3.采购人只提供电源、水源。成交人在施工期间不得破坏原有建筑。</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一、本项目商务要求（实质性要求，不得负偏离）如下： 1.合同履行期限： 自合同签订后60个日历日内施工完毕。 2.合同履约地点：商洛市中心医院。 3.支付方式：分阶段付款。 4.合同支付约定： 4.1付款条件说明： 双方签订合同，工程竣工验收合格后 90 日内，支付合同总金额的 80.00%。 4.2付款条件说明： 项目经决算审计完成后 90 日内，支付合同总金额的 17.00%。 4.3付款条件说明： 自工程完工验收合格之日起两年后，且无任何质量问题的前提下 90 日内，支付合同总金额的 3.00%。 5、质量保证： 5.1工程质保期符合文件要求及国家标准要求。成交人承诺的质保时间超过国家标准要求的，按其承诺时间质保。成交人承诺的质保期起始时间为终验合格之日。 5.2工程质量等级达到合格或以上标准。 5.3成交人应遵照国家规范规定的建筑工程施工质量标准及要求作出明确承诺。 5.4在质量保证期内，成交人应具有良好、迅速的售后服务能力。 6、合同实施： 6.1.成交人应在合同签订后7个日历日内安排人员（项目组成人员简历表所列）就施工等进行安排、部署。 6.2.若因成交人原因未能在规定工期内完成合同规定的义务，由此对采购人造成的延误和一切损失，由成交人承担和赔偿。 7、违约责任： 7.1按《中华人民共和国民法典》中的相关条款执行。 7.2未按合同要求提供工程质量或工程质量不能满足技术要求，采购人有权终止合同，并对供方违约行为进行追究，同时按《中华人民共和国政府采购法》的有关规定进行处罚。 二、其他要求： 1、成交人在领取成交通知书时提供一正两副纸质竞争性磋商响应文件。装订：纸质竞争性磋商响应文件采用书籍（胶装）方式装订成册，与电子版文件一致的签字、盖章的完整版本，编制书脊（注明项目名称、项目编号）。2、本项目施工地点：商洛市中心医院头颈外科楼（2号楼）北侧空地（紧贴道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供应商需在项目电子化交易系统中按要求上传相应证明文件并进行电子签章。本项目审查内容与特殊资格要求的“财务状况报告”审查为同一项。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具有建设行政主管部门颁发的建筑工程施工总承包或市政公用工程施工总承包三级以上（含三级）资质，同时具有合格有效的安全生产许可证；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 xml:space="preserve"> 项目经理</w:t>
            </w:r>
          </w:p>
        </w:tc>
        <w:tc>
          <w:tcPr>
            <w:tcW w:type="dxa" w:w="3322"/>
          </w:tcPr>
          <w:p>
            <w:pPr>
              <w:pStyle w:val="null3"/>
            </w:pPr>
            <w:r>
              <w:rPr>
                <w:rFonts w:ascii="仿宋_GB2312" w:hAnsi="仿宋_GB2312" w:cs="仿宋_GB2312" w:eastAsia="仿宋_GB2312"/>
              </w:rPr>
              <w:t>拟派项目经理须具备建筑工程专业或市政工程专业二级以上（含二级）注册建造师证书和有效的安全生产考核证书（B证），在本单位注册，提供无在建工程承诺书；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投标保证金交纳凭证</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业绩.docx 已标价工程量清单 中小企业声明函 承诺书.docx 法定代表人授权书.docx 响应文件封面 《拒绝政府采购领域商业贿赂承诺书》.docx 项目管理机构组成表 残疾人福利性单位声明函 报价函 标的清单 响应函 主要人员简历表 监狱企业的证明文件 技术、服务、商务及其他要求响应偏离表.docx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已标价工程量清单 报价函 标的清单 工程量清单计价表.docx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对磋商文件技术要求是否作出明确响应，对不得偏离的要求是否作出实质性响应；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业绩.docx 已标价工程量清单 对竞争性磋商文件及合同条款的承诺.docx 中小企业声明函 服务承诺.docx 承诺书.docx 工程量清单计价表.docx 资格证明文件.docx 法定代表人授权书.docx 响应文件封面 《拒绝政府采购领域商业贿赂承诺书》.docx 施工技术响应.docx 项目管理机构组成表 残疾人福利性单位声明函 报价函 标的清单 响应函 主要人员简历表 监狱企业的证明文件 技术、服务、商务及其他要求响应偏离表.docx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无法律、法规和磋商文件规定的其他无效响应情形</w:t>
            </w:r>
          </w:p>
        </w:tc>
        <w:tc>
          <w:tcPr>
            <w:tcW w:type="dxa" w:w="1661"/>
          </w:tcPr>
          <w:p>
            <w:pPr>
              <w:pStyle w:val="null3"/>
            </w:pPr>
            <w:r>
              <w:rPr>
                <w:rFonts w:ascii="仿宋_GB2312" w:hAnsi="仿宋_GB2312" w:cs="仿宋_GB2312" w:eastAsia="仿宋_GB2312"/>
              </w:rPr>
              <w:t>投标人认为有必要补充说明的事宜.docx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供应商针对本项目编制完善的工程质量技术组织措施，内容包含但不限于：质量目标管理体系、施工质量的检验制度、确保质量的技术组织措施、材料储存方案。 评审标准： ①内容完整全面详细，且各项制度、措施等合理具体，内容能够紧扣项目实际情况，条理清晰的计6分； ②内容完整，但条理不清晰、措施不具体或无紧扣项目实际情况的计4分； ③内容缺1项的计2分； ④内容缺2项及以上或内容粗略、逻辑混乱、出现常识性错误、存在不可能实现的夸大情形的计1分；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供应商针对本项目编制完善的文明施工及环境保护措施，内容包含但不限于：安全文明施工目标及施工现场的临时管理措施、文明施工保障措施、环境保护管理体系、环保控制措施、污染物及废弃物处理的排放、噪音控制、防尘及扬尘的控制措施。 评审标准： ①内容完整全面详细、合理具体，内容能够紧扣项目实际情况，条理清晰的计6分； ②内容完整，但条理不清晰、措施不具体或无紧扣项目实际情况的计4分； ③内容缺1项的计2分； ④内容缺2项及以上缺项或内容粗略、逻辑混乱、出现常识性错误、存在不可能实现的夸大情形的计1分；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技术响应3</w:t>
            </w:r>
          </w:p>
        </w:tc>
        <w:tc>
          <w:tcPr>
            <w:tcW w:type="dxa" w:w="2492"/>
          </w:tcPr>
          <w:p>
            <w:pPr>
              <w:pStyle w:val="null3"/>
            </w:pPr>
            <w:r>
              <w:rPr>
                <w:rFonts w:ascii="仿宋_GB2312" w:hAnsi="仿宋_GB2312" w:cs="仿宋_GB2312" w:eastAsia="仿宋_GB2312"/>
              </w:rPr>
              <w:t>供应商针对本项目编制完善的安全生产的技术组织措施，内容包含但不限于：安全管理体系、安全责任归属划分、安全标识：安全警戒标语、施工人员安全警示服和安全帽穿配要求、安全教育培训等。 评审标准： ①内容完整全面详细、合理具体，内容能够紧扣项目实际情况，条理清晰的计6分； ②内容完整，但条理不清晰、措施不具体或无紧扣项目实际情况的计4分； ③内容缺1项的计2分； ④内容缺2项及以上缺项或内容粗略、逻辑混乱、出现常识性错误、存在不可能实现的夸大情形的计1分；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技术响应4</w:t>
            </w:r>
          </w:p>
        </w:tc>
        <w:tc>
          <w:tcPr>
            <w:tcW w:type="dxa" w:w="2492"/>
          </w:tcPr>
          <w:p>
            <w:pPr>
              <w:pStyle w:val="null3"/>
            </w:pPr>
            <w:r>
              <w:rPr>
                <w:rFonts w:ascii="仿宋_GB2312" w:hAnsi="仿宋_GB2312" w:cs="仿宋_GB2312" w:eastAsia="仿宋_GB2312"/>
              </w:rPr>
              <w:t>供应商针对本项目编制完善的工期的技术组织措施，内容包含但不限于：施工组织与工期保证措施、特殊情况保证：夜间、雨季等情况。 评审标准： ①内容完整全面详细、合理具体，内容能够紧扣项目实际情况，条理清晰的计6分； ②内容完整，但条理不清晰、措施不具体或无紧扣项目实际情况的计4分；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技术响应5</w:t>
            </w:r>
          </w:p>
        </w:tc>
        <w:tc>
          <w:tcPr>
            <w:tcW w:type="dxa" w:w="2492"/>
          </w:tcPr>
          <w:p>
            <w:pPr>
              <w:pStyle w:val="null3"/>
            </w:pPr>
            <w:r>
              <w:rPr>
                <w:rFonts w:ascii="仿宋_GB2312" w:hAnsi="仿宋_GB2312" w:cs="仿宋_GB2312" w:eastAsia="仿宋_GB2312"/>
              </w:rPr>
              <w:t>供应商针对本项目编制完善的施工方案，内容包含但不限于：具体施工内容、施工次序、施工方法（工艺）、成品保护措施等。 评审标准： ①内容科学全面，详细、具体的计10分； ②内容完整，但仅对部分内容进行详细描述的计8分； ③仅有框架或内容条理不清晰、混乱的计6分； ④内容缺一项或内容与项目无关的计4分； ⑤内容简单或内容欠缺2项及以上的计2分； ⑥未提供本项不计分。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技术响应6</w:t>
            </w:r>
          </w:p>
        </w:tc>
        <w:tc>
          <w:tcPr>
            <w:tcW w:type="dxa" w:w="2492"/>
          </w:tcPr>
          <w:p>
            <w:pPr>
              <w:pStyle w:val="null3"/>
            </w:pPr>
            <w:r>
              <w:rPr>
                <w:rFonts w:ascii="仿宋_GB2312" w:hAnsi="仿宋_GB2312" w:cs="仿宋_GB2312" w:eastAsia="仿宋_GB2312"/>
              </w:rPr>
              <w:t>供应商针对本项目编制完善的施工机械及材料投入计划，内容包含但不限于：拟投入的主要施工机械设备计划、主要材料进场计划。 评审标准： ①内容完整全面详细、合理具体，内容能够紧扣项目实际情况，条理清晰的计6分； ②内容完整，但条理不清晰、计划不具体或无紧扣项目实际情况的计4分；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技术响应7</w:t>
            </w:r>
          </w:p>
        </w:tc>
        <w:tc>
          <w:tcPr>
            <w:tcW w:type="dxa" w:w="2492"/>
          </w:tcPr>
          <w:p>
            <w:pPr>
              <w:pStyle w:val="null3"/>
            </w:pPr>
            <w:r>
              <w:rPr>
                <w:rFonts w:ascii="仿宋_GB2312" w:hAnsi="仿宋_GB2312" w:cs="仿宋_GB2312" w:eastAsia="仿宋_GB2312"/>
              </w:rPr>
              <w:t>供应商针对本项目编制完善的施工进度网络图或施工进度表，内容包含但不限于：施工总进度、施工进度目标和施工总进度计划表/图、施工进度保障措施等。 评审标准： ①内容完整全面详细、合理具体，内容能够紧扣项目实际情况，条理清晰的计6分； ②内容完整，但条理不清晰、措施不具体或无紧扣项目实际情况的计4分；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技术响应8</w:t>
            </w:r>
          </w:p>
        </w:tc>
        <w:tc>
          <w:tcPr>
            <w:tcW w:type="dxa" w:w="2492"/>
          </w:tcPr>
          <w:p>
            <w:pPr>
              <w:pStyle w:val="null3"/>
            </w:pPr>
            <w:r>
              <w:rPr>
                <w:rFonts w:ascii="仿宋_GB2312" w:hAnsi="仿宋_GB2312" w:cs="仿宋_GB2312" w:eastAsia="仿宋_GB2312"/>
              </w:rPr>
              <w:t>供应商针对本项目编制完善的劳动力安排计划及劳务分包情况，内容包含但不限于：劳动力投入计划，劳动力保障措施。 评审标准： ①内容完整全面详细、合理具体，内容能够紧扣项目实际情况，条理清晰的计6分； ②内容完整，但条理不清晰、措施不具体或无紧扣项目实际情况的计4分；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技术响应9</w:t>
            </w:r>
          </w:p>
        </w:tc>
        <w:tc>
          <w:tcPr>
            <w:tcW w:type="dxa" w:w="2492"/>
          </w:tcPr>
          <w:p>
            <w:pPr>
              <w:pStyle w:val="null3"/>
            </w:pPr>
            <w:r>
              <w:rPr>
                <w:rFonts w:ascii="仿宋_GB2312" w:hAnsi="仿宋_GB2312" w:cs="仿宋_GB2312" w:eastAsia="仿宋_GB2312"/>
              </w:rPr>
              <w:t>供应商针对本项目编制完善的项目经理部组织机构，内容包含但不限于：项目成员配置清单及架构、项目组配备人员的专业素质、人员结构、项目成员的主要职责及工作内容等。 评审标准： ①内容完整全面详细、合理具体，内容能够紧扣项目实际情况，条理清晰的计6分； ②内容完整，但条理不清晰、人员结果不具体或无紧扣项目实际情况的计4分；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以合同形式提供供应商2022年01月至今类似项目业绩，每份计2分，计满6分为止。（以合同签订时间为准，附合同复印件）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供应商针对本项目编制完善的服务承诺，内容包含但不限于：对招标文件和合同条款的响应承诺、针对本项目实际需求提供实质性服务承诺及保障措施、针对本项目的施工验收后期的质保承诺等。 评审标准： ①内容完整全面详细、合理具体，内容能够紧扣项目实际情况，条理清晰的计6分； ②内容完整，但条理不清晰、措施不具体或无紧扣项目实际情况的计4分；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已标价工程量清单</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详见附件：对竞争性磋商文件及合同条款的承诺.docx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详见附件：施工技术响应.docx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详见附件：工程量清单计价表.docx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