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版本号：SDZC2025-19120251117001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256排CT球管采购项目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SDZC2025-191</w:t>
      </w:r>
      <w:r>
        <w:br/>
      </w:r>
      <w:r>
        <w:br/>
      </w:r>
      <w:r>
        <w:br/>
      </w:r>
      <w:r>
        <w:br/>
      </w:r>
      <w:r>
        <w:br/>
      </w:r>
    </w:p>
    <w:p>
      <w:pPr>
        <w:pStyle w:val="null3"/>
        <w:jc w:val="center"/>
        <w:outlineLvl w:val="5"/>
      </w:pPr>
      <w:r>
        <w:rPr>
          <w:rFonts w:ascii="仿宋_GB2312" w:hAnsi="仿宋_GB2312" w:cs="仿宋_GB2312" w:eastAsia="仿宋_GB2312"/>
          <w:sz w:val="15"/>
          <w:b/>
        </w:rPr>
        <w:t>商洛市中心医院</w:t>
      </w:r>
    </w:p>
    <w:p>
      <w:pPr>
        <w:pStyle w:val="null3"/>
        <w:jc w:val="center"/>
        <w:outlineLvl w:val="5"/>
      </w:pPr>
      <w:r>
        <w:rPr>
          <w:rFonts w:ascii="仿宋_GB2312" w:hAnsi="仿宋_GB2312" w:cs="仿宋_GB2312" w:eastAsia="仿宋_GB2312"/>
          <w:sz w:val="15"/>
          <w:b/>
        </w:rPr>
        <w:t>陕西上德招标有限公司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商洛市中心医院</w:t>
      </w:r>
      <w:r>
        <w:rPr>
          <w:rFonts w:ascii="仿宋_GB2312" w:hAnsi="仿宋_GB2312" w:cs="仿宋_GB2312" w:eastAsia="仿宋_GB2312"/>
        </w:rPr>
        <w:t>委托，拟对</w:t>
      </w:r>
      <w:r>
        <w:rPr>
          <w:rFonts w:ascii="仿宋_GB2312" w:hAnsi="仿宋_GB2312" w:cs="仿宋_GB2312" w:eastAsia="仿宋_GB2312"/>
        </w:rPr>
        <w:t>256排CT球管采购项目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256排CT球管采购项目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256排CT球管采购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9、企业及产品资质：供应商具有医疗器械经营许可证或医疗器械经营备案证；提供投标产品医疗器械注册证或医疗器械备案凭证；</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单一来源采购响应截止日当天在“信用中国”网站和中国政府采购网站进行查询，截图留档；如网站无供应商信息的，供应商须提供相关证明资料或书面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陕西省商洛市商鞅大道37号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商洛市中心医院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0914-2180023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西安市经开区凤城八路正尚国际金融广场A座7层703 （张家堡转盘东南角）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曹幸（3号工位）、魏蕾、张富红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 1151 0000 0135 22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商洛市中心医院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商洛市中心医院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设备各项技术指标必须完全达到供货方投标时提供的技术指标以及设备的产品标准，完全达到对患者和医师的安全防护要求后，方可验收合格。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256排CT球管采购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98"/>
              <w:gridCol w:w="2048"/>
            </w:tblGrid>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一、设备名称</w:t>
                  </w:r>
                </w:p>
              </w:tc>
              <w:tc>
                <w:tcPr>
                  <w:tcW w:type="dxa" w:w="2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X射线球管组件</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二、数量</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r>
            <w:tr>
              <w:tc>
                <w:tcPr>
                  <w:tcW w:type="dxa" w:w="49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三、用途</w:t>
                  </w:r>
                </w:p>
              </w:tc>
              <w:tc>
                <w:tcPr>
                  <w:tcW w:type="dxa" w:w="20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适用于</w:t>
                  </w:r>
                  <w:r>
                    <w:rPr>
                      <w:rFonts w:ascii="仿宋_GB2312" w:hAnsi="仿宋_GB2312" w:cs="仿宋_GB2312" w:eastAsia="仿宋_GB2312"/>
                      <w:sz w:val="24"/>
                    </w:rPr>
                    <w:t>GE牌Revolution CT型号X射线计算机体层摄影设备。</w:t>
                  </w:r>
                </w:p>
              </w:tc>
            </w:tr>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四、基本要求</w:t>
                  </w:r>
                </w:p>
              </w:tc>
              <w:tc>
                <w:tcPr>
                  <w:tcW w:type="dxa" w:w="2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所更换的备件为原设备零配件同一生产厂家和同一型号规格的合格</w:t>
                  </w:r>
                  <w:r>
                    <w:rPr>
                      <w:rFonts w:ascii="仿宋_GB2312" w:hAnsi="仿宋_GB2312" w:cs="仿宋_GB2312" w:eastAsia="仿宋_GB2312"/>
                      <w:sz w:val="24"/>
                    </w:rPr>
                    <w:t>全新</w:t>
                  </w:r>
                  <w:r>
                    <w:rPr>
                      <w:rFonts w:ascii="仿宋_GB2312" w:hAnsi="仿宋_GB2312" w:cs="仿宋_GB2312" w:eastAsia="仿宋_GB2312"/>
                      <w:sz w:val="24"/>
                    </w:rPr>
                    <w:t>零配件，并提供零配件的相关材料，提供球管与</w:t>
                  </w:r>
                  <w:r>
                    <w:rPr>
                      <w:rFonts w:ascii="仿宋_GB2312" w:hAnsi="仿宋_GB2312" w:cs="仿宋_GB2312" w:eastAsia="仿宋_GB2312"/>
                      <w:sz w:val="24"/>
                    </w:rPr>
                    <w:t>CT整机匹配的认证报告。</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五、主要技术规格要求</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5.1</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阳极热容量：</w:t>
                  </w:r>
                  <w:r>
                    <w:rPr>
                      <w:rFonts w:ascii="仿宋_GB2312" w:hAnsi="仿宋_GB2312" w:cs="仿宋_GB2312" w:eastAsia="仿宋_GB2312"/>
                      <w:sz w:val="24"/>
                    </w:rPr>
                    <w:t>≥5MJ；</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5.2</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阳极额定旋转速度：</w:t>
                  </w:r>
                  <w:r>
                    <w:rPr>
                      <w:rFonts w:ascii="仿宋_GB2312" w:hAnsi="仿宋_GB2312" w:cs="仿宋_GB2312" w:eastAsia="仿宋_GB2312"/>
                      <w:sz w:val="24"/>
                    </w:rPr>
                    <w:t>≥8400 RPM;</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5.3</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持续阳极输入功率：</w:t>
                  </w:r>
                  <w:r>
                    <w:rPr>
                      <w:rFonts w:ascii="仿宋_GB2312" w:hAnsi="仿宋_GB2312" w:cs="仿宋_GB2312" w:eastAsia="仿宋_GB2312"/>
                      <w:sz w:val="24"/>
                    </w:rPr>
                    <w:t>≥2.0KW;</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5.4</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焦点数量：</w:t>
                  </w:r>
                  <w:r>
                    <w:rPr>
                      <w:rFonts w:ascii="仿宋_GB2312" w:hAnsi="仿宋_GB2312" w:cs="仿宋_GB2312" w:eastAsia="仿宋_GB2312"/>
                      <w:sz w:val="24"/>
                    </w:rPr>
                    <w:t>≥三个；</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小焦点：</w:t>
                  </w:r>
                  <w:r>
                    <w:rPr>
                      <w:rFonts w:ascii="仿宋_GB2312" w:hAnsi="仿宋_GB2312" w:cs="仿宋_GB2312" w:eastAsia="仿宋_GB2312"/>
                      <w:sz w:val="24"/>
                    </w:rPr>
                    <w:t>≤1.0mm x 0.7 mm；</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5.6</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大焦点：</w:t>
                  </w:r>
                  <w:r>
                    <w:rPr>
                      <w:rFonts w:ascii="仿宋_GB2312" w:hAnsi="仿宋_GB2312" w:cs="仿宋_GB2312" w:eastAsia="仿宋_GB2312"/>
                      <w:sz w:val="24"/>
                    </w:rPr>
                    <w:t>≤1.6mm x 1.2mm；</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5.7</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超大焦点：</w:t>
                  </w:r>
                  <w:r>
                    <w:rPr>
                      <w:rFonts w:ascii="仿宋_GB2312" w:hAnsi="仿宋_GB2312" w:cs="仿宋_GB2312" w:eastAsia="仿宋_GB2312"/>
                      <w:sz w:val="24"/>
                    </w:rPr>
                    <w:t>≤2.0mm x 1.2mm ；</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5.8</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普通扫描和螺旋扫描</w:t>
                  </w:r>
                  <w:r>
                    <w:rPr>
                      <w:rFonts w:ascii="仿宋_GB2312" w:hAnsi="仿宋_GB2312" w:cs="仿宋_GB2312" w:eastAsia="仿宋_GB2312"/>
                      <w:sz w:val="24"/>
                    </w:rPr>
                    <w:t>可</w:t>
                  </w:r>
                  <w:r>
                    <w:rPr>
                      <w:rFonts w:ascii="仿宋_GB2312" w:hAnsi="仿宋_GB2312" w:cs="仿宋_GB2312" w:eastAsia="仿宋_GB2312"/>
                      <w:sz w:val="24"/>
                    </w:rPr>
                    <w:t>在</w:t>
                  </w:r>
                  <w:r>
                    <w:rPr>
                      <w:rFonts w:ascii="仿宋_GB2312" w:hAnsi="仿宋_GB2312" w:cs="仿宋_GB2312" w:eastAsia="仿宋_GB2312"/>
                      <w:sz w:val="24"/>
                    </w:rPr>
                    <w:t>70kv、80kv、100kv、120kv、140kv五种条件下</w:t>
                  </w:r>
                  <w:r>
                    <w:rPr>
                      <w:rFonts w:ascii="仿宋_GB2312" w:hAnsi="仿宋_GB2312" w:cs="仿宋_GB2312" w:eastAsia="仿宋_GB2312"/>
                      <w:sz w:val="24"/>
                    </w:rPr>
                    <w:t>进行</w:t>
                  </w:r>
                  <w:r>
                    <w:rPr>
                      <w:rFonts w:ascii="仿宋_GB2312" w:hAnsi="仿宋_GB2312" w:cs="仿宋_GB2312" w:eastAsia="仿宋_GB2312"/>
                      <w:sz w:val="24"/>
                    </w:rPr>
                    <w:t>，可持续</w:t>
                  </w:r>
                  <w:r>
                    <w:rPr>
                      <w:rFonts w:ascii="仿宋_GB2312" w:hAnsi="仿宋_GB2312" w:cs="仿宋_GB2312" w:eastAsia="仿宋_GB2312"/>
                      <w:sz w:val="24"/>
                    </w:rPr>
                    <w:t>4秒扫描</w:t>
                  </w:r>
                  <w:r>
                    <w:rPr>
                      <w:rFonts w:ascii="仿宋_GB2312" w:hAnsi="仿宋_GB2312" w:cs="仿宋_GB2312" w:eastAsia="仿宋_GB2312"/>
                      <w:sz w:val="24"/>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5.9</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最大持续热耗散</w:t>
                  </w:r>
                  <w:r>
                    <w:rPr>
                      <w:rFonts w:ascii="仿宋_GB2312" w:hAnsi="仿宋_GB2312" w:cs="仿宋_GB2312" w:eastAsia="仿宋_GB2312"/>
                      <w:sz w:val="24"/>
                    </w:rPr>
                    <w:t>/额定持续输入功率：≥3.0KW</w:t>
                  </w:r>
                  <w:r>
                    <w:rPr>
                      <w:rFonts w:ascii="仿宋_GB2312" w:hAnsi="仿宋_GB2312" w:cs="仿宋_GB2312" w:eastAsia="仿宋_GB2312"/>
                      <w:sz w:val="24"/>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六、设备安装</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6.1</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供货方在接到用户球管到货通知后三天内，指派工程师到用户现场开箱、验货及安装调试，球管由供货方负责运至机房、在验收合格之前出现的损坏以及丢失均由供货方负责。</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6.2</w:t>
                  </w:r>
                </w:p>
              </w:tc>
              <w:tc>
                <w:tcPr>
                  <w:tcW w:type="dxa" w:w="2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球管</w:t>
                  </w:r>
                  <w:r>
                    <w:rPr>
                      <w:rFonts w:ascii="仿宋_GB2312" w:hAnsi="仿宋_GB2312" w:cs="仿宋_GB2312" w:eastAsia="仿宋_GB2312"/>
                      <w:sz w:val="24"/>
                    </w:rPr>
                    <w:t>的安装调试：安装调试应在开箱验货之后及时进行，在规定的工作日内完成对</w:t>
                  </w:r>
                  <w:r>
                    <w:rPr>
                      <w:rFonts w:ascii="仿宋_GB2312" w:hAnsi="仿宋_GB2312" w:cs="仿宋_GB2312" w:eastAsia="仿宋_GB2312"/>
                      <w:sz w:val="24"/>
                    </w:rPr>
                    <w:t>球管</w:t>
                  </w:r>
                  <w:r>
                    <w:rPr>
                      <w:rFonts w:ascii="仿宋_GB2312" w:hAnsi="仿宋_GB2312" w:cs="仿宋_GB2312" w:eastAsia="仿宋_GB2312"/>
                      <w:sz w:val="24"/>
                    </w:rPr>
                    <w:t>的安装和调试并达到试运行状态，安装调试时间不超过两个周，在此期间内所发生的费用由供货方承担。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自合同签订之日起90个日历日内交付完毕。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设备维修、维护等技术服务完毕，经甲乙双方共同验收合格，设备运行正常后，由乙方开具全额发票，按照甲方财务规定的程序办理签票及付款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方应按标书规定的技术要求提供产品，必须与装箱单一致，产品必须按相应的国际标准和中国国家标准及有关政府部门的规定，规范的完成制作和安装工作。达到中国国家标准及有关政府部门和用户的规定。 2.安装完成后由用户及供货方联合验收。设备各项技术指标必须完全达到供货方投标时提供的技术指标以及设备的产品标准，完全达到对患者和医师的安全防护要求后，方可验收合格。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安装之日起6000人或12个月先到为准。质保期内所有更换球管和人员费用等全部由供货方负责。2.产品质量必须符合国家有关规范和相关政策。必须是未使用过的新产品，质量优良、渠道正当，配置合理。3.质保期内，供货方应快捷、无偿的提供技术服务和维修。如因球管质量问题及本身缺陷导致的各种不良后果或给用户造成的所有损失，全部由供货方负责承担，用户依据法律有保留进一步提出索赔的权力。 4.质保期内维修响应时间：在接到故障报告后响应时间2小时，24小时内到达现场，（除春节、五一劳动节、国庆节三个法定节日以外的日子）。维修点：国内有固定维修点，提供详细地址及联系电话。 5.供货方应提供球管完整的使用手册，操作说明书、软件等服务类资料，供货清单，产地证明等相关资料。 6.技术培训要求：提供能及时获取并实施原厂系统安全性软硬件改版通知(FMI)能力的证明，质保期内免费提供设备（含独立工作站）的系统软件升级补丁和技术支持，保证所有系统软件为最新版本。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2.未按合同要求提供产品或设备质量不能满足技术要求，采购人有权终止合同，并对供方违约行为进行追究，同时按《中华人民共和国政府采购法》的有关规定进行处罚。 争议的解决：合同执行中发生争议的，甲、乙双方应协商解决，协商达不成一致时，可向甲方所在地人民法院提请诉讼。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供应商领取成交通知书时，需向采购代理机构提供纸质投标文件（与在线提交的电子投标文件一致，签字盖章完整），正本壹份、副本贰份（正本须为红章，建议采用双面打印）。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供应商需在项目电子化交易系统中按要求上传相应证明文件并进行电子签章。本项与特殊资格要求中“财务状况报告”为同一审查内容。</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企业及产品资质</w:t>
            </w:r>
          </w:p>
        </w:tc>
        <w:tc>
          <w:tcPr>
            <w:tcW w:type="dxa" w:w="3322"/>
          </w:tcPr>
          <w:p>
            <w:pPr>
              <w:pStyle w:val="null3"/>
            </w:pPr>
            <w:r>
              <w:rPr>
                <w:rFonts w:ascii="仿宋_GB2312" w:hAnsi="仿宋_GB2312" w:cs="仿宋_GB2312" w:eastAsia="仿宋_GB2312"/>
              </w:rPr>
              <w:t>供应商具有医疗器械经营许可证或医疗器械经营备案证；提供投标产品医疗器械注册证或医疗器械备案凭证；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单一来源采购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响应偏离表.docx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质量保证及售后服务方案.docx 中小企业声明函 承诺书.docx 报价表 项目实施方案.docx 响应偏离表.docx 资格证明文件.docx 响应文件封面 《拒绝政府采购领域商业贿赂承诺书》.docx 项目组人员配置.docx 供应商认为需要提供的其他资料.docx 残疾人福利性单位声明函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单一来源采购响应文件是否按照单一来源采购文件的要求盖章签字</w:t>
            </w:r>
          </w:p>
        </w:tc>
        <w:tc>
          <w:tcPr>
            <w:tcW w:type="dxa" w:w="1661"/>
          </w:tcPr>
          <w:p>
            <w:pPr>
              <w:pStyle w:val="null3"/>
            </w:pPr>
            <w:r>
              <w:rPr>
                <w:rFonts w:ascii="仿宋_GB2312" w:hAnsi="仿宋_GB2312" w:cs="仿宋_GB2312" w:eastAsia="仿宋_GB2312"/>
              </w:rPr>
              <w:t>响应文件封面 《拒绝政府采购领域商业贿赂承诺书》.docx 中小企业声明函 残疾人福利性单位声明函 标的清单 承诺书.docx 报价表 响应函 法定代表人授权委托书.docx 响应偏离表.docx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协商报价未超过最高限价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单一来源响应有效期是否符合单一来源采购文件的要求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对单一来源采购文件商务要求及技术要求是否作出明确且实质性响应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单一来源采购响应文件未含有采购人不能接受的附加条件</w:t>
            </w:r>
          </w:p>
        </w:tc>
        <w:tc>
          <w:tcPr>
            <w:tcW w:type="dxa" w:w="1661"/>
          </w:tcPr>
          <w:p>
            <w:pPr>
              <w:pStyle w:val="null3"/>
            </w:pPr>
            <w:r>
              <w:rPr>
                <w:rFonts w:ascii="仿宋_GB2312" w:hAnsi="仿宋_GB2312" w:cs="仿宋_GB2312" w:eastAsia="仿宋_GB2312"/>
              </w:rPr>
              <w:t>质量保证及售后服务方案.docx 中小企业声明函 承诺书.docx 报价表 项目实施方案.docx 响应偏离表.docx 资格证明文件.docx 响应文件封面 《拒绝政府采购领域商业贿赂承诺书》.docx 项目组人员配置.docx 供应商认为需要提供的其他资料.docx 残疾人福利性单位声明函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法律、法规和单一来源采购文件规定的其他无效响应情形</w:t>
            </w:r>
          </w:p>
        </w:tc>
        <w:tc>
          <w:tcPr>
            <w:tcW w:type="dxa" w:w="3322"/>
          </w:tcPr>
          <w:p>
            <w:pPr>
              <w:pStyle w:val="null3"/>
            </w:pPr>
            <w:r>
              <w:rPr>
                <w:rFonts w:ascii="仿宋_GB2312" w:hAnsi="仿宋_GB2312" w:cs="仿宋_GB2312" w:eastAsia="仿宋_GB2312"/>
              </w:rPr>
              <w:t>无法律、法规和单一来源采购文件规定的其他无效响应情形</w:t>
            </w:r>
          </w:p>
        </w:tc>
        <w:tc>
          <w:tcPr>
            <w:tcW w:type="dxa" w:w="1661"/>
          </w:tcPr>
          <w:p>
            <w:pPr>
              <w:pStyle w:val="null3"/>
            </w:pPr>
            <w:r>
              <w:rPr>
                <w:rFonts w:ascii="仿宋_GB2312" w:hAnsi="仿宋_GB2312" w:cs="仿宋_GB2312" w:eastAsia="仿宋_GB2312"/>
              </w:rPr>
              <w:t>质量保证及售后服务方案.docx 中小企业声明函 承诺书.docx 报价表 项目实施方案.docx 响应偏离表.docx 资格证明文件.docx 响应文件封面 《拒绝政府采购领域商业贿赂承诺书》.docx 项目组人员配置.docx 供应商认为需要提供的其他资料.docx 残疾人福利性单位声明函 标的清单 响应函 法定代表人授权委托书.docx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详见附件：项目组人员配置.docx</w:t>
      </w:r>
    </w:p>
    <w:p>
      <w:pPr>
        <w:pStyle w:val="null3"/>
        <w:ind w:firstLine="960"/>
      </w:pPr>
      <w:r>
        <w:rPr>
          <w:rFonts w:ascii="仿宋_GB2312" w:hAnsi="仿宋_GB2312" w:cs="仿宋_GB2312" w:eastAsia="仿宋_GB2312"/>
        </w:rPr>
        <w:t>详见附件：质量保证及售后服务方案.docx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