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版本号：SXSL－2025－5220251122001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2025年冬季除雪应急设备购置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SXSL－2025－52</w:t>
      </w:r>
      <w:r>
        <w:br/>
      </w:r>
      <w:r>
        <w:br/>
      </w:r>
      <w:r>
        <w:br/>
      </w:r>
    </w:p>
    <w:p>
      <w:pPr>
        <w:pStyle w:val="null3"/>
        <w:jc w:val="center"/>
        <w:outlineLvl w:val="2"/>
      </w:pPr>
      <w:r>
        <w:rPr>
          <w:rFonts w:ascii="仿宋_GB2312" w:hAnsi="仿宋_GB2312" w:cs="仿宋_GB2312" w:eastAsia="仿宋_GB2312"/>
          <w:sz w:val="28"/>
          <w:b/>
        </w:rPr>
        <w:t>商洛市公路局</w:t>
      </w:r>
    </w:p>
    <w:p>
      <w:pPr>
        <w:pStyle w:val="null3"/>
        <w:jc w:val="center"/>
        <w:outlineLvl w:val="2"/>
      </w:pPr>
      <w:r>
        <w:rPr>
          <w:rFonts w:ascii="仿宋_GB2312" w:hAnsi="仿宋_GB2312" w:cs="仿宋_GB2312" w:eastAsia="仿宋_GB2312"/>
          <w:sz w:val="28"/>
          <w:b/>
        </w:rPr>
        <w:t>陕西上洛管理咨询有限公司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陕西上洛管理咨询有限公司</w:t>
      </w:r>
      <w:r>
        <w:rPr>
          <w:rFonts w:ascii="仿宋_GB2312" w:hAnsi="仿宋_GB2312" w:cs="仿宋_GB2312" w:eastAsia="仿宋_GB2312"/>
        </w:rPr>
        <w:t>（以下简称“代理机构”）受</w:t>
      </w:r>
      <w:r>
        <w:rPr>
          <w:rFonts w:ascii="仿宋_GB2312" w:hAnsi="仿宋_GB2312" w:cs="仿宋_GB2312" w:eastAsia="仿宋_GB2312"/>
        </w:rPr>
        <w:t>商洛市公路局</w:t>
      </w:r>
      <w:r>
        <w:rPr>
          <w:rFonts w:ascii="仿宋_GB2312" w:hAnsi="仿宋_GB2312" w:cs="仿宋_GB2312" w:eastAsia="仿宋_GB2312"/>
        </w:rPr>
        <w:t>委托，拟对</w:t>
      </w:r>
      <w:r>
        <w:rPr>
          <w:rFonts w:ascii="仿宋_GB2312" w:hAnsi="仿宋_GB2312" w:cs="仿宋_GB2312" w:eastAsia="仿宋_GB2312"/>
        </w:rPr>
        <w:t>2025年冬季除雪应急设备购置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SXSL－2025－52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2025年冬季除雪应急设备购置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本次采购清扫除雪多功能用车、皮卡除雪车、除雪铲、融雪剂撒布机各3辆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1、特殊资格要求：车型需列入工业和信息化部《道路机动车辆生产企业及产品公告》目录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商州区名人街20号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冀显示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18809149900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陕西上洛管理咨询有限公司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陕西省商洛市商州区黄沙桥交投公司六楼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杨万青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15229547755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代理服务费收费标准：1.以项目中标金额作为收费的计算基数，中标金额不足100万元按100万元计取。2.招标代理费计算依据：参考计价格【2002】1980号规定计算并在领取中标通知书前由中标人支付。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商洛市公路局</w:t>
      </w:r>
      <w:r>
        <w:rPr>
          <w:rFonts w:ascii="仿宋_GB2312" w:hAnsi="仿宋_GB2312" w:cs="仿宋_GB2312" w:eastAsia="仿宋_GB2312"/>
        </w:rPr>
        <w:t>和</w:t>
      </w:r>
      <w:r>
        <w:rPr>
          <w:rFonts w:ascii="仿宋_GB2312" w:hAnsi="仿宋_GB2312" w:cs="仿宋_GB2312" w:eastAsia="仿宋_GB2312"/>
        </w:rPr>
        <w:t>陕西上洛管理咨询有限公司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陕西上洛管理咨询有限公司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陕西上洛管理咨询有限公司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依据合同及技术协议约定，对交付成果的完整性、符合性、功能性能达标情况及商务条款履行情况进行全面核查，以确认承建方是否全面履行约定义务。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联系人：杨万青</w:t>
      </w:r>
    </w:p>
    <w:p>
      <w:pPr>
        <w:pStyle w:val="null3"/>
      </w:pPr>
      <w:r>
        <w:rPr>
          <w:rFonts w:ascii="仿宋_GB2312" w:hAnsi="仿宋_GB2312" w:cs="仿宋_GB2312" w:eastAsia="仿宋_GB2312"/>
        </w:rPr>
        <w:t>联系电话：15229547755</w:t>
      </w:r>
    </w:p>
    <w:p>
      <w:pPr>
        <w:pStyle w:val="null3"/>
      </w:pPr>
      <w:r>
        <w:rPr>
          <w:rFonts w:ascii="仿宋_GB2312" w:hAnsi="仿宋_GB2312" w:cs="仿宋_GB2312" w:eastAsia="仿宋_GB2312"/>
        </w:rPr>
        <w:t>地址：陕西省商洛市商州区黄沙桥交投公司六楼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本次采购清扫除雪多功能用车、皮卡除雪车、除雪铲、融雪剂撒布机各3辆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3,495,000.00</w:t>
      </w:r>
    </w:p>
    <w:p>
      <w:pPr>
        <w:pStyle w:val="null3"/>
      </w:pPr>
      <w:r>
        <w:rPr>
          <w:rFonts w:ascii="仿宋_GB2312" w:hAnsi="仿宋_GB2312" w:cs="仿宋_GB2312" w:eastAsia="仿宋_GB2312"/>
        </w:rPr>
        <w:t>采购包最高限价（元）: 3,495,000.00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1.除雪车--技术要求（3辆）</w:t>
            </w:r>
          </w:p>
          <w:p>
            <w:pPr>
              <w:pStyle w:val="null3"/>
              <w:ind w:firstLine="280"/>
              <w:jc w:val="both"/>
            </w:pPr>
            <w:r>
              <w:rPr>
                <w:rFonts w:ascii="仿宋_GB2312" w:hAnsi="仿宋_GB2312" w:cs="仿宋_GB2312" w:eastAsia="仿宋_GB2312"/>
                <w:sz w:val="21"/>
              </w:rPr>
              <w:t>技术参数：底盘发动机功率≥155kw，国六排放标准；底盘车驱动型式：4×4；底盘轴距≥3300mm；底盘车燃油种类：汽油。前置除雪铲：除雪铲最大除雪宽度≥2200mm；最大避障高度≥100mm。后置撒布机：撒布机容积≥0.7m³；撒布宽度：2-8m；撒布机驱动形式：电驱动。除雪车最大总质量≥3000kg（以国家工信部的汽车产品公告参数页数据为准）。</w:t>
            </w:r>
          </w:p>
          <w:p>
            <w:pPr>
              <w:pStyle w:val="null3"/>
              <w:ind w:firstLine="280"/>
              <w:jc w:val="both"/>
            </w:pPr>
            <w:r>
              <w:rPr>
                <w:rFonts w:ascii="仿宋_GB2312" w:hAnsi="仿宋_GB2312" w:cs="仿宋_GB2312" w:eastAsia="仿宋_GB2312"/>
                <w:sz w:val="21"/>
              </w:rPr>
              <w:t>主要技术性能要求：1.除雪车配置：前置除雪铲，后置撒布机；操作者能在驾驶室内完成撒布机撒布、除雪铲除雪的作业操作。</w:t>
            </w:r>
          </w:p>
          <w:p>
            <w:pPr>
              <w:pStyle w:val="null3"/>
              <w:ind w:firstLine="280"/>
              <w:jc w:val="both"/>
            </w:pPr>
            <w:r>
              <w:rPr>
                <w:rFonts w:ascii="仿宋_GB2312" w:hAnsi="仿宋_GB2312" w:cs="仿宋_GB2312" w:eastAsia="仿宋_GB2312"/>
                <w:sz w:val="21"/>
              </w:rPr>
              <w:t>2.除雪车作业时除雪铲和撒布机须同时进行除雪和撒布作业，也可分别单独作业。</w:t>
            </w:r>
          </w:p>
          <w:p>
            <w:pPr>
              <w:pStyle w:val="null3"/>
              <w:ind w:firstLine="280"/>
              <w:jc w:val="both"/>
            </w:pPr>
            <w:r>
              <w:rPr>
                <w:rFonts w:ascii="仿宋_GB2312" w:hAnsi="仿宋_GB2312" w:cs="仿宋_GB2312" w:eastAsia="仿宋_GB2312"/>
                <w:sz w:val="21"/>
              </w:rPr>
              <w:t>3.前置除雪铲</w:t>
            </w:r>
          </w:p>
          <w:p>
            <w:pPr>
              <w:pStyle w:val="null3"/>
              <w:ind w:firstLine="280"/>
              <w:jc w:val="both"/>
            </w:pPr>
            <w:r>
              <w:rPr>
                <w:rFonts w:ascii="仿宋_GB2312" w:hAnsi="仿宋_GB2312" w:cs="仿宋_GB2312" w:eastAsia="仿宋_GB2312"/>
                <w:sz w:val="21"/>
              </w:rPr>
              <w:t>3.1具有自动避障功能，避障复位弹簧数量不少于2个；</w:t>
            </w:r>
          </w:p>
          <w:p>
            <w:pPr>
              <w:pStyle w:val="null3"/>
              <w:ind w:firstLine="280"/>
              <w:jc w:val="both"/>
            </w:pPr>
            <w:r>
              <w:rPr>
                <w:rFonts w:ascii="仿宋_GB2312" w:hAnsi="仿宋_GB2312" w:cs="仿宋_GB2312" w:eastAsia="仿宋_GB2312"/>
                <w:sz w:val="21"/>
              </w:rPr>
              <w:t>3.2驱动方式：除雪铲由独立动力单元驱动；</w:t>
            </w:r>
          </w:p>
          <w:p>
            <w:pPr>
              <w:pStyle w:val="null3"/>
              <w:ind w:firstLine="280"/>
              <w:jc w:val="both"/>
            </w:pPr>
            <w:r>
              <w:rPr>
                <w:rFonts w:ascii="仿宋_GB2312" w:hAnsi="仿宋_GB2312" w:cs="仿宋_GB2312" w:eastAsia="仿宋_GB2312"/>
                <w:sz w:val="21"/>
              </w:rPr>
              <w:t>3.3与底盘车的连接：驶入式快速连接形式；</w:t>
            </w:r>
          </w:p>
          <w:p>
            <w:pPr>
              <w:pStyle w:val="null3"/>
              <w:ind w:firstLine="280"/>
              <w:jc w:val="both"/>
            </w:pPr>
            <w:r>
              <w:rPr>
                <w:rFonts w:ascii="仿宋_GB2312" w:hAnsi="仿宋_GB2312" w:cs="仿宋_GB2312" w:eastAsia="仿宋_GB2312"/>
                <w:sz w:val="21"/>
              </w:rPr>
              <w:t>后置撒布机</w:t>
            </w:r>
          </w:p>
          <w:p>
            <w:pPr>
              <w:pStyle w:val="null3"/>
              <w:ind w:firstLine="280"/>
              <w:jc w:val="both"/>
            </w:pPr>
            <w:r>
              <w:rPr>
                <w:rFonts w:ascii="仿宋_GB2312" w:hAnsi="仿宋_GB2312" w:cs="仿宋_GB2312" w:eastAsia="仿宋_GB2312"/>
                <w:sz w:val="21"/>
              </w:rPr>
              <w:t>4.1撒布机须采用304不锈钢板制作，具有良好的防腐性能；</w:t>
            </w:r>
          </w:p>
          <w:p>
            <w:pPr>
              <w:pStyle w:val="null3"/>
              <w:ind w:firstLine="280"/>
              <w:jc w:val="both"/>
            </w:pPr>
            <w:r>
              <w:rPr>
                <w:rFonts w:ascii="仿宋_GB2312" w:hAnsi="仿宋_GB2312" w:cs="仿宋_GB2312" w:eastAsia="仿宋_GB2312"/>
                <w:sz w:val="21"/>
              </w:rPr>
              <w:t>4.2融雪剂出料口大小可手动调节，使用者可根据雪情及工况，通过调整仓门开启的大小调整融雪剂的播撒量。</w:t>
            </w:r>
          </w:p>
          <w:p>
            <w:pPr>
              <w:pStyle w:val="null3"/>
              <w:ind w:firstLine="280"/>
              <w:jc w:val="both"/>
            </w:pPr>
            <w:r>
              <w:rPr>
                <w:rFonts w:ascii="仿宋_GB2312" w:hAnsi="仿宋_GB2312" w:cs="仿宋_GB2312" w:eastAsia="仿宋_GB2312"/>
                <w:sz w:val="21"/>
              </w:rPr>
              <w:t>4.3撒布机在箱体上部安装有筛网（上网罩），能防止杂物及大体积受潮、板结物料进入箱体。</w:t>
            </w:r>
          </w:p>
          <w:p>
            <w:pPr>
              <w:pStyle w:val="null3"/>
              <w:jc w:val="both"/>
            </w:pPr>
            <w:r>
              <w:rPr>
                <w:rFonts w:ascii="仿宋_GB2312" w:hAnsi="仿宋_GB2312" w:cs="仿宋_GB2312" w:eastAsia="仿宋_GB2312"/>
                <w:sz w:val="21"/>
              </w:rPr>
              <w:t>5.除雪车须提供国家工信部的《车辆公告》文件、《车辆购置税免征公告》文件。</w:t>
            </w:r>
          </w:p>
          <w:p>
            <w:pPr>
              <w:pStyle w:val="null3"/>
              <w:jc w:val="center"/>
            </w:pPr>
            <w:r>
              <w:rPr>
                <w:rFonts w:ascii="仿宋_GB2312" w:hAnsi="仿宋_GB2312" w:cs="仿宋_GB2312" w:eastAsia="仿宋_GB2312"/>
                <w:sz w:val="21"/>
                <w:b/>
              </w:rPr>
              <w:t>2.撒布机--技术要求</w:t>
            </w:r>
            <w:r>
              <w:rPr>
                <w:rFonts w:ascii="仿宋_GB2312" w:hAnsi="仿宋_GB2312" w:cs="仿宋_GB2312" w:eastAsia="仿宋_GB2312"/>
                <w:sz w:val="21"/>
                <w:b/>
              </w:rPr>
              <w:t>（3台）</w:t>
            </w:r>
          </w:p>
          <w:p>
            <w:pPr>
              <w:pStyle w:val="null3"/>
              <w:ind w:firstLine="280"/>
              <w:jc w:val="both"/>
            </w:pPr>
            <w:r>
              <w:rPr>
                <w:rFonts w:ascii="仿宋_GB2312" w:hAnsi="仿宋_GB2312" w:cs="仿宋_GB2312" w:eastAsia="仿宋_GB2312"/>
                <w:sz w:val="21"/>
              </w:rPr>
              <w:t>技术参数：撒布机料仓容积≥0.25m³；撒布机撒布宽度：1-9m可调；撒布机须采用电机驱动；撒布机的料仓主体材质须采用高强度耐腐蚀的高分子聚乙烯材料；撒布机须配有智能控制器，可在驾驶室内控制撒布机的启动、停机和调节撒布角度；撒布机须适配安装在皮卡车和自卸车上。</w:t>
            </w:r>
          </w:p>
          <w:p>
            <w:pPr>
              <w:pStyle w:val="null3"/>
              <w:jc w:val="both"/>
            </w:pPr>
            <w:r>
              <w:rPr>
                <w:rFonts w:ascii="仿宋_GB2312" w:hAnsi="仿宋_GB2312" w:cs="仿宋_GB2312" w:eastAsia="仿宋_GB2312"/>
                <w:sz w:val="21"/>
                <w:b/>
              </w:rPr>
              <w:t>3.扫路车—技术要求</w:t>
            </w:r>
            <w:r>
              <w:rPr>
                <w:rFonts w:ascii="仿宋_GB2312" w:hAnsi="仿宋_GB2312" w:cs="仿宋_GB2312" w:eastAsia="仿宋_GB2312"/>
                <w:sz w:val="21"/>
                <w:b/>
              </w:rPr>
              <w:t>（3辆）</w:t>
            </w:r>
          </w:p>
          <w:p>
            <w:pPr>
              <w:pStyle w:val="null3"/>
              <w:ind w:firstLine="280"/>
              <w:jc w:val="both"/>
            </w:pPr>
            <w:r>
              <w:rPr>
                <w:rFonts w:ascii="仿宋_GB2312" w:hAnsi="仿宋_GB2312" w:cs="仿宋_GB2312" w:eastAsia="仿宋_GB2312"/>
                <w:sz w:val="21"/>
              </w:rPr>
              <w:t>1.扫路车，技术参数：底盘发动机功率＞165kw  国六排放标准；副发动机功率≥116kw  国四排放标准；清扫宽度＞3.4m；清扫速度：5～20km/h；垃圾箱容积＞8m³；清水箱容积＞3.5m³；整车最大总质量：18000kg（以国家工信部的汽车产品公告参数页数据为准）。</w:t>
            </w:r>
          </w:p>
          <w:p>
            <w:pPr>
              <w:pStyle w:val="null3"/>
              <w:ind w:firstLine="280"/>
              <w:jc w:val="both"/>
            </w:pPr>
            <w:r>
              <w:rPr>
                <w:rFonts w:ascii="仿宋_GB2312" w:hAnsi="仿宋_GB2312" w:cs="仿宋_GB2312" w:eastAsia="仿宋_GB2312"/>
                <w:sz w:val="21"/>
              </w:rPr>
              <w:t>扫路车须采用吸扫结合、湿式除尘的工作原理对路面进行清扫、保洁作业。</w:t>
            </w:r>
          </w:p>
          <w:p>
            <w:pPr>
              <w:pStyle w:val="null3"/>
              <w:ind w:firstLine="280"/>
              <w:jc w:val="both"/>
            </w:pPr>
            <w:r>
              <w:rPr>
                <w:rFonts w:ascii="仿宋_GB2312" w:hAnsi="仿宋_GB2312" w:cs="仿宋_GB2312" w:eastAsia="仿宋_GB2312"/>
                <w:sz w:val="21"/>
              </w:rPr>
              <w:t>2.扫路车须采用副发动机驱动风机及作业装置。电气自动控制的副发动机离合器操纵装置，保证了副发动机空载启动和停机时与风机的自动脱离。</w:t>
            </w:r>
          </w:p>
          <w:p>
            <w:pPr>
              <w:pStyle w:val="null3"/>
              <w:ind w:firstLine="280"/>
              <w:jc w:val="both"/>
            </w:pPr>
            <w:r>
              <w:rPr>
                <w:rFonts w:ascii="仿宋_GB2312" w:hAnsi="仿宋_GB2312" w:cs="仿宋_GB2312" w:eastAsia="仿宋_GB2312"/>
                <w:sz w:val="21"/>
              </w:rPr>
              <w:t>3.扫路车的作业装置须采用“中置四盘刷＋后置吸嘴”的对称布置形式，方便道路左、右两边清扫。</w:t>
            </w:r>
          </w:p>
          <w:p>
            <w:pPr>
              <w:pStyle w:val="null3"/>
              <w:ind w:firstLine="280"/>
              <w:jc w:val="both"/>
            </w:pPr>
            <w:r>
              <w:rPr>
                <w:rFonts w:ascii="仿宋_GB2312" w:hAnsi="仿宋_GB2312" w:cs="仿宋_GB2312" w:eastAsia="仿宋_GB2312"/>
                <w:sz w:val="21"/>
              </w:rPr>
              <w:t>4.扫路车的清扫装置伸缩须采用液压控制,具有遇障自动避让保护和自动复位功能。</w:t>
            </w:r>
          </w:p>
          <w:p>
            <w:pPr>
              <w:pStyle w:val="null3"/>
              <w:ind w:firstLine="280"/>
              <w:jc w:val="both"/>
            </w:pPr>
            <w:r>
              <w:rPr>
                <w:rFonts w:ascii="仿宋_GB2312" w:hAnsi="仿宋_GB2312" w:cs="仿宋_GB2312" w:eastAsia="仿宋_GB2312"/>
                <w:sz w:val="21"/>
              </w:rPr>
              <w:t>5.扫路车的左、右前扫须可独立或联动工作,保证了在清扫作业中有选择地使用右前扫或左前扫独立清扫工作。</w:t>
            </w:r>
          </w:p>
          <w:p>
            <w:pPr>
              <w:pStyle w:val="null3"/>
              <w:ind w:firstLine="280"/>
              <w:jc w:val="both"/>
            </w:pPr>
            <w:r>
              <w:rPr>
                <w:rFonts w:ascii="仿宋_GB2312" w:hAnsi="仿宋_GB2312" w:cs="仿宋_GB2312" w:eastAsia="仿宋_GB2312"/>
                <w:sz w:val="21"/>
              </w:rPr>
              <w:t>6.扫路车须采用全浮动吸嘴，在吸嘴内安装卧扫，吸嘴能随地面状况自动找平。</w:t>
            </w:r>
          </w:p>
          <w:p>
            <w:pPr>
              <w:pStyle w:val="null3"/>
              <w:ind w:firstLine="280"/>
              <w:jc w:val="both"/>
            </w:pPr>
            <w:r>
              <w:rPr>
                <w:rFonts w:ascii="仿宋_GB2312" w:hAnsi="仿宋_GB2312" w:cs="仿宋_GB2312" w:eastAsia="仿宋_GB2312"/>
                <w:sz w:val="21"/>
              </w:rPr>
              <w:t>7.扫路车的垃圾箱须采用单层不锈钢结构，其底板采用大平面斜置底板，倾泄垃圾快捷干净；须具有垃圾箱自洁功能。</w:t>
            </w:r>
          </w:p>
          <w:p>
            <w:pPr>
              <w:pStyle w:val="null3"/>
              <w:ind w:firstLine="280"/>
              <w:jc w:val="both"/>
            </w:pPr>
            <w:r>
              <w:rPr>
                <w:rFonts w:ascii="仿宋_GB2312" w:hAnsi="仿宋_GB2312" w:cs="仿宋_GB2312" w:eastAsia="仿宋_GB2312"/>
                <w:sz w:val="21"/>
              </w:rPr>
              <w:t>8.扫路车的电气控制须采用集成模块化CAN智能总线控制系统，面板具有故障诊断、语音报警、数字测试、副发动机转速、水温、操作工况等的实时显示与监控功能，作业状态一目了然，维护方便。</w:t>
            </w:r>
          </w:p>
          <w:p>
            <w:pPr>
              <w:pStyle w:val="null3"/>
              <w:ind w:firstLine="280"/>
              <w:jc w:val="both"/>
            </w:pPr>
            <w:r>
              <w:rPr>
                <w:rFonts w:ascii="仿宋_GB2312" w:hAnsi="仿宋_GB2312" w:cs="仿宋_GB2312" w:eastAsia="仿宋_GB2312"/>
                <w:sz w:val="21"/>
              </w:rPr>
              <w:t>9.扫路车的液压系统须采用叠加式电磁液压阀组高度集成，工作可靠。</w:t>
            </w:r>
          </w:p>
          <w:p>
            <w:pPr>
              <w:pStyle w:val="null3"/>
              <w:ind w:firstLine="280"/>
              <w:jc w:val="both"/>
            </w:pPr>
            <w:r>
              <w:rPr>
                <w:rFonts w:ascii="仿宋_GB2312" w:hAnsi="仿宋_GB2312" w:cs="仿宋_GB2312" w:eastAsia="仿宋_GB2312"/>
                <w:sz w:val="21"/>
              </w:rPr>
              <w:t>10.该扫路车须采用由副发动机取力和底盘取力的双动力元件的液压系统，在副发动机停机时，可通过底盘取力实现垃圾箱倾倒卸料及扫盘、吸嘴的提升。液压集成模块分开设置，分别控制。</w:t>
            </w:r>
          </w:p>
          <w:p>
            <w:pPr>
              <w:pStyle w:val="null3"/>
              <w:ind w:firstLine="280"/>
              <w:jc w:val="both"/>
            </w:pPr>
            <w:r>
              <w:rPr>
                <w:rFonts w:ascii="仿宋_GB2312" w:hAnsi="仿宋_GB2312" w:cs="仿宋_GB2312" w:eastAsia="仿宋_GB2312"/>
                <w:sz w:val="21"/>
              </w:rPr>
              <w:t>11.扫路车的扫盘须采用凸形结构设计，使垃圾不易堆积在扫盘上。</w:t>
            </w:r>
          </w:p>
          <w:p>
            <w:pPr>
              <w:pStyle w:val="null3"/>
              <w:ind w:firstLine="280"/>
              <w:jc w:val="both"/>
            </w:pPr>
            <w:r>
              <w:rPr>
                <w:rFonts w:ascii="仿宋_GB2312" w:hAnsi="仿宋_GB2312" w:cs="仿宋_GB2312" w:eastAsia="仿宋_GB2312"/>
                <w:sz w:val="21"/>
              </w:rPr>
              <w:t>12.扫路车须配备高压冲洗水泵、高压喷枪和高压自洁系统，可使其在20m范围内进行高压清洗作业。</w:t>
            </w:r>
          </w:p>
          <w:p>
            <w:pPr>
              <w:pStyle w:val="null3"/>
              <w:ind w:firstLine="280"/>
              <w:jc w:val="both"/>
            </w:pPr>
            <w:r>
              <w:rPr>
                <w:rFonts w:ascii="仿宋_GB2312" w:hAnsi="仿宋_GB2312" w:cs="仿宋_GB2312" w:eastAsia="仿宋_GB2312"/>
                <w:sz w:val="21"/>
              </w:rPr>
              <w:t>13扫路车前须加装除雪铲：</w:t>
            </w:r>
          </w:p>
          <w:p>
            <w:pPr>
              <w:pStyle w:val="null3"/>
              <w:ind w:firstLine="280"/>
              <w:jc w:val="both"/>
            </w:pPr>
            <w:r>
              <w:rPr>
                <w:rFonts w:ascii="仿宋_GB2312" w:hAnsi="仿宋_GB2312" w:cs="仿宋_GB2312" w:eastAsia="仿宋_GB2312"/>
                <w:sz w:val="21"/>
              </w:rPr>
              <w:t>13.1.除雪铲最大除雪宽度≥3600mm；</w:t>
            </w:r>
          </w:p>
          <w:p>
            <w:pPr>
              <w:pStyle w:val="null3"/>
              <w:ind w:firstLine="280"/>
              <w:jc w:val="both"/>
            </w:pPr>
            <w:r>
              <w:rPr>
                <w:rFonts w:ascii="仿宋_GB2312" w:hAnsi="仿宋_GB2312" w:cs="仿宋_GB2312" w:eastAsia="仿宋_GB2312"/>
                <w:sz w:val="21"/>
              </w:rPr>
              <w:t>13.2.除雪铲左右偏转角度：±30º；</w:t>
            </w:r>
          </w:p>
          <w:p>
            <w:pPr>
              <w:pStyle w:val="null3"/>
              <w:ind w:firstLine="280"/>
              <w:jc w:val="both"/>
            </w:pPr>
            <w:r>
              <w:rPr>
                <w:rFonts w:ascii="仿宋_GB2312" w:hAnsi="仿宋_GB2312" w:cs="仿宋_GB2312" w:eastAsia="仿宋_GB2312"/>
                <w:sz w:val="21"/>
              </w:rPr>
              <w:t>13.3.除雪铲须具备自动避障、自动回位功能，避障高度≥150mm；</w:t>
            </w:r>
          </w:p>
          <w:p>
            <w:pPr>
              <w:pStyle w:val="null3"/>
              <w:ind w:firstLine="280"/>
              <w:jc w:val="both"/>
            </w:pPr>
            <w:r>
              <w:rPr>
                <w:rFonts w:ascii="仿宋_GB2312" w:hAnsi="仿宋_GB2312" w:cs="仿宋_GB2312" w:eastAsia="仿宋_GB2312"/>
                <w:sz w:val="21"/>
              </w:rPr>
              <w:t>14.除雪铲升降及偏转须采用独立动力单元控制。铲板须采用一体化大弧度面板设计。</w:t>
            </w:r>
          </w:p>
          <w:p>
            <w:pPr>
              <w:pStyle w:val="null3"/>
              <w:ind w:firstLine="280"/>
              <w:jc w:val="both"/>
            </w:pPr>
            <w:r>
              <w:rPr>
                <w:rFonts w:ascii="仿宋_GB2312" w:hAnsi="仿宋_GB2312" w:cs="仿宋_GB2312" w:eastAsia="仿宋_GB2312"/>
                <w:sz w:val="21"/>
              </w:rPr>
              <w:t>15.除雪铲须具有浮动功能，能在起伏不平的路面上正常工作。</w:t>
            </w:r>
            <w:r>
              <w:br/>
            </w:r>
            <w:r>
              <w:rPr>
                <w:rFonts w:ascii="仿宋_GB2312" w:hAnsi="仿宋_GB2312" w:cs="仿宋_GB2312" w:eastAsia="仿宋_GB2312"/>
                <w:sz w:val="21"/>
              </w:rPr>
              <w:t xml:space="preserve">  </w:t>
            </w:r>
            <w:r>
              <w:rPr>
                <w:rFonts w:ascii="仿宋_GB2312" w:hAnsi="仿宋_GB2312" w:cs="仿宋_GB2312" w:eastAsia="仿宋_GB2312"/>
                <w:sz w:val="21"/>
              </w:rPr>
              <w:t xml:space="preserve"> 16.除雪铲除雪作业时偏转角度调整、铲板的抬升、下降动作须在驾驶室内操作完成。</w:t>
            </w:r>
          </w:p>
          <w:p>
            <w:pPr>
              <w:pStyle w:val="null3"/>
            </w:pPr>
            <w:r>
              <w:rPr>
                <w:rFonts w:ascii="仿宋_GB2312" w:hAnsi="仿宋_GB2312" w:cs="仿宋_GB2312" w:eastAsia="仿宋_GB2312"/>
                <w:sz w:val="21"/>
              </w:rPr>
              <w:t xml:space="preserve">  17.扫路车须提供国家工信部的《车辆公告》文件、《车辆购置税免征公告》文件。</w:t>
            </w:r>
          </w:p>
          <w:p>
            <w:pPr>
              <w:pStyle w:val="null3"/>
              <w:jc w:val="both"/>
            </w:pPr>
            <w:r>
              <w:rPr>
                <w:rFonts w:ascii="仿宋_GB2312" w:hAnsi="仿宋_GB2312" w:cs="仿宋_GB2312" w:eastAsia="仿宋_GB2312"/>
                <w:sz w:val="21"/>
                <w:b/>
              </w:rPr>
              <w:t>4.装载机除雪铲--技术要求</w:t>
            </w:r>
            <w:r>
              <w:rPr>
                <w:rFonts w:ascii="仿宋_GB2312" w:hAnsi="仿宋_GB2312" w:cs="仿宋_GB2312" w:eastAsia="仿宋_GB2312"/>
                <w:sz w:val="21"/>
                <w:b/>
              </w:rPr>
              <w:t>（3台）</w:t>
            </w:r>
          </w:p>
          <w:p>
            <w:pPr>
              <w:pStyle w:val="null3"/>
              <w:ind w:firstLine="280"/>
              <w:jc w:val="both"/>
            </w:pPr>
            <w:r>
              <w:rPr>
                <w:rFonts w:ascii="仿宋_GB2312" w:hAnsi="仿宋_GB2312" w:cs="仿宋_GB2312" w:eastAsia="仿宋_GB2312"/>
                <w:sz w:val="21"/>
              </w:rPr>
              <w:t>除雪铲，技术参数：除雪铲最大除雪宽度≥3500mm；除雪铲避障高度≥150mm；除雪铲左右水平摆动角度:±30°；除雪铲的左右摆动须采用独立液压动力单元驱动，工作电压为24V；除雪铲采用重力加载，具有自动避障、自动复位功能；除雪铲的除雪作业操控须在驾驶室内操作完成；除雪铲须可安装在50型装载机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验收合格且乙方给甲方出具正式发票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质保期结束后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乙方派工作人员赴甲方指定交货安装地点，负责拼装、调试、试验，进行验收、交接，其中关键性试验需有甲方相关人员参加。 甲乙双方进行实物验收，设备配置、随机备件及工具、资料与本合同和发货单规格、型号、数量一致，且无破损，双方认可签字后视为实物验收合格。物流方单据签收由乙方自行签认，不作为验收依据。 设备经调试正常运行、各项试验满足相关规范要求，双方签署技术性能验收报告单即视为技术性能验收合格。 最终验收合格，一般设备实物验收、技术性能验收合格，视为最终验收合格； 如设备及配件与本合同和发货单不符合，或设备不符合规格和标准的要求，甲方将拒绝接收，乙方应将被拒绝设备及配件予以替换或作必要的更改，并承担由此所发生的所有费用；如经替换或作必要的更改后，设备仍不能满足规格和标准的要求，甲方有权退货,乙方承担由此发生的所有费用和对甲方造成的一切损失。甲方亦有权解除合同，且甲方不因此而承担任何违约责任。 甲方的验收不免除乙方应承担的保修或其他责任。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设备整机质量质保期为最终验收合格后个12月。在质保期内，凡由于设备设计、制造或材质等非甲方原因造成故障，乙方负责修理或更换零部件，费用由乙方承担；超过质保期后，乙方对设备实行终身服务。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如乙方未能在合同规定的时间内交付全部设备，或由于乙方的设备、配件、质量及售后服务等方面原因影响安装调试时间，导致设备在合同约定时间内仍无法达到正常使用要求的，按每误期一天扣减合同总价的 2 %的标准核计，累计扣减金额最多不超过合同总价的 10 % 。一旦误期损失赔偿达到了合同价的 10 %，甲方则有权解除合同，由此给甲方造成的一切损失由乙方赔偿。 本设备的主要技术性能指标达不到技术设计要求，致使本设备无法投入使用，甲方有权退货，乙方应按照合同总价的 10 % 支付甲方违约金，并承担由此造成的损失。 本设备的主要技术性能指标达不到技术设计要求，影响正常使用的,乙方应按本合同10.2条约定派人维修，经两次维修后仍影响正常使用的,甲方有权退货,乙方应按照合同总价的 10 % 支付甲方违约金，并承担由此造成的损失。 在质保期内，乙方未按甲方要求在 24 小时内调派维修人员赶赴甲方现场进行维修，或在合理期限内无法修复的，甲方有权找第三方进行维修，由此产生的费用和损失由乙方承担。 乙方不得将本合同义务全部或部分转让，包括不得转包与分包，否则甲方有权退货,乙方应按照合同总价的 10% 支付甲方违约金，并承担由此造成的一切损失。 乙方未按合同约定向甲方提供真实、有效、合格的增值税专用发票（包含税务机关代开），并未按实际提供应税货物情况，准确填写发票项目的，视为乙方违约，甲方有权拒付相应货款。 乙方其他违约责任： 双方协商。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供应商应在标的清单中，将各设备单独分列报价。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车型需列入工业和信息化部《道路机动车辆生产企业及产品公告》目录</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依据招标文件规定，从招标文件的有效性、完整性和对响应文件的响应程度进行审查。出现下列情况之一者，不得进入最终评审环节：（1）供应商的投标报价超过采购预 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供货方案编制内容综合评定</w:t>
            </w:r>
          </w:p>
        </w:tc>
        <w:tc>
          <w:tcPr>
            <w:tcW w:type="dxa" w:w="2492"/>
          </w:tcPr>
          <w:p>
            <w:pPr>
              <w:pStyle w:val="null3"/>
            </w:pPr>
            <w:r>
              <w:rPr>
                <w:rFonts w:ascii="仿宋_GB2312" w:hAnsi="仿宋_GB2312" w:cs="仿宋_GB2312" w:eastAsia="仿宋_GB2312"/>
              </w:rPr>
              <w:t>根据采购要求和响应情况进行综合评定：内容包含针对本项目的工作思路、认识；产品的调试组织措施及方案；产品质量保证措施；供货计划。得12分。每缺少一项扣3分。 方案内容完整且内容健全，针对项目实际情况有具体的分析阐述，有对本项目的充分理解及细化分析，可操作性强、能全面高效地完成本项目，技术方法先进，具有合理性，可行性，思路清晰，供货计划可行，产品的调试措施及方案可行、完善，质保措施完整有针对性，加6-8分； 方案完整，技术方法正确并能适用于本项目，工作思路及对本项目的认知、计划基本合理，质保及调试措施可行，加4-6分； 方案基本完整，有技术方法，有对本项目的认知、计划，有质保及调试措施可行，加2-4分； 方案内容缺失较多，工作思路、项目的认识、技术、质量保证措施方法有错误或对项目理解不正确，加0-2分。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能承诺免费培训，并提供培训计划、培训大纲，针对本项目的应用场景、技术特点和管理流程进行了专项分析，并提出了针对性的培训模块，方案详细说明了培训方法、培训周期、每阶段的培训时长、师资安排，并提供了保障措施，得9-10分； 能承诺免费培训，并提供培训计划、培训大纲，方案能结合本项目需求进行描述，但针对性分析不够深入，定制化内容较少；方案说明了培训方法、周期和师资，但描述较为常规，缺乏详细的保障措施，得6-8分； 提供了培训方案，但内容严重缺失、空洞，完全无法体现如何完成本项目培训，方案与本项目关联性极弱，明显为其他项目的模板套用。未承诺免费培训，且方案不具备可操作性得3-5分； 未提供任何培训方案或提供的方案完全不正确或明确表示无法满足项目的基本培训要求，得0-2分。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提供了专门的验收方案且完整清晰：方案内容完整，包含明确的验收标准、验收流程、验收方法、参与人员、时间安排和所需文档清单；逻辑清晰，易于理解。有针对性与可行性：方案充分针对本项目的技术特点、交付物和采购需求制定，条款具体、可操作、无歧义，在本项目中完全可行。高效性：方案设计充分考虑了采购人的便利，流程简洁，环节设置合理，能有效提升验收效率。得9-10分。 提供了验收方案，方案内容较为完整，涵盖了核心的验收流程和标准，表述基本清晰。针对性与可行性：方案能结合本项目进行描述，内容具体且可行，但部分细节可以进一步完善。得6-8分。 提供了验收方案。方案包含了基本的验收思路和主要步骤，但内容可能不够详尽，或部分使用了通用模板。方案基本可行，但缺乏针对本项目的深入考量。得3-5分 。 提供的验收方案内容严重缺失、空洞，无法作为有效的验收依据。 方案与本项目关联性极弱，为明显的套用。方案中存在明显的错误或不可行的条款。得1-2分。 未提供任何验收方案或提供的方案完全不正确或明确表示无法满足项目的验收要求得0分。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本项目后续服务方案及承诺</w:t>
            </w:r>
          </w:p>
        </w:tc>
        <w:tc>
          <w:tcPr>
            <w:tcW w:type="dxa" w:w="2492"/>
          </w:tcPr>
          <w:p>
            <w:pPr>
              <w:pStyle w:val="null3"/>
            </w:pPr>
            <w:r>
              <w:rPr>
                <w:rFonts w:ascii="仿宋_GB2312" w:hAnsi="仿宋_GB2312" w:cs="仿宋_GB2312" w:eastAsia="仿宋_GB2312"/>
              </w:rPr>
              <w:t>内容完整性，方案全面覆盖了“项目后续服务方案”、“服务配合计划”、“服务承诺”三项核心内容。方案质量：针对性与具体性：服务方案充分针对本项目特点，提供了详细、具体的服务流程、故障响应机制、定期维护安排等，人员安排职责明确、架构清晰。承诺水平：服务承诺全面、到位（例如：明确具体的响应时间、解决时限、免费保修期限及范围等），远超采购基本要求。可行性：整体方案逻辑严谨、资源配备合理，可操作性极强，能确保项目后续服务高效、可靠运行。得9-10分。 方案覆盖了全部三项核心内容。有针对性，方案能结合本项目进行描述，各项安排具体、可行。承诺水平：服务承诺符合或略高于采购基本要求。有可行性，方案能够支持项目的顺利完成，但部分细节可以更详尽。得6-8分。 方案内容基本完整，但可能有一项内容（如服务配合计划）较为简略。 方案质量：方案为通用性描述，仅简单提及本项目，缺乏深入的针对性分析。各项措施和承诺虽然常规、缺乏亮点，但基本可行，能满足最低要求。得3-5分。 方案缺失超过一项关键内容或方案内容严重空洞、泛泛而谈，无法体现对本项目的具体服务安排或服务承诺低于采购文件的基本要求。得1-2分。 方案内容缺失极其严重或方案完全脱离本项目需求，或提供的服务承诺与项目实际严重不符或存在明显错误、不可行的条款，或未提供本项方案得0分。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全部技术参数均满足招标要求（无任何负偏离）的，得 10分。每有一项负偏离扣2分，扣完为止。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供应商自2020年1月至今提供类似的业绩，每提供1项得5分，最高不超过10分。（须提供合同复印件或中标通知书复印件，类似项目指特种车辆销售业绩，若为代理商，提供代理商业绩；若为制造商提供制造商业绩）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经初步审查合格的投标文件，满足招标文件要求且报价最低的供应商的价格为基准价，其价格分为满分。其他供应商的价格分统一按照下列公式计算： 报价得分=（基准价/投标报价）×30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