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2B94C">
      <w:pPr>
        <w:jc w:val="center"/>
        <w:rPr>
          <w:b/>
          <w:bCs/>
        </w:rPr>
      </w:pPr>
      <w:r>
        <w:rPr>
          <w:rFonts w:hint="eastAsia"/>
          <w:b/>
          <w:bCs/>
        </w:rPr>
        <w:t>拟签订合同</w:t>
      </w:r>
    </w:p>
    <w:p w14:paraId="2A8CBC54">
      <w:pPr>
        <w:spacing w:line="520" w:lineRule="exact"/>
        <w:ind w:right="62" w:rightChars="22"/>
        <w:rPr>
          <w:rFonts w:ascii="宋体" w:hAnsi="宋体" w:cs="宋体"/>
          <w:bCs/>
          <w:u w:val="single"/>
        </w:rPr>
      </w:pPr>
      <w:r>
        <w:rPr>
          <w:rFonts w:hint="eastAsia" w:ascii="宋体" w:hAnsi="宋体" w:cs="宋体"/>
          <w:bCs/>
        </w:rPr>
        <w:t>合同编号:</w:t>
      </w:r>
    </w:p>
    <w:p w14:paraId="1101B256">
      <w:pPr>
        <w:spacing w:line="520" w:lineRule="exact"/>
        <w:ind w:right="960"/>
        <w:rPr>
          <w:rFonts w:ascii="宋体" w:hAnsi="宋体" w:cs="宋体"/>
          <w:bCs/>
          <w:u w:val="single"/>
        </w:rPr>
      </w:pPr>
      <w:r>
        <w:rPr>
          <w:rFonts w:hint="eastAsia" w:ascii="宋体" w:hAnsi="宋体" w:cs="宋体"/>
          <w:bCs/>
        </w:rPr>
        <w:t>签订地点：</w:t>
      </w:r>
    </w:p>
    <w:p w14:paraId="76826EB1">
      <w:pPr>
        <w:spacing w:line="520" w:lineRule="exact"/>
        <w:ind w:firstLine="480"/>
        <w:rPr>
          <w:rFonts w:ascii="宋体" w:hAnsi="宋体" w:cs="宋体"/>
          <w:bCs/>
          <w:u w:val="single"/>
        </w:rPr>
      </w:pPr>
      <w:r>
        <w:rPr>
          <w:rFonts w:hint="eastAsia" w:ascii="宋体" w:hAnsi="宋体" w:cs="宋体"/>
          <w:bCs/>
        </w:rPr>
        <w:t>甲方：</w:t>
      </w:r>
    </w:p>
    <w:p w14:paraId="066ED56A">
      <w:pPr>
        <w:spacing w:line="520" w:lineRule="exact"/>
        <w:ind w:firstLine="480"/>
        <w:rPr>
          <w:rFonts w:ascii="宋体" w:hAnsi="宋体" w:cs="宋体"/>
          <w:bCs/>
        </w:rPr>
      </w:pPr>
      <w:r>
        <w:rPr>
          <w:rFonts w:hint="eastAsia" w:ascii="宋体" w:hAnsi="宋体" w:cs="宋体"/>
          <w:bCs/>
        </w:rPr>
        <w:t>乙方：</w:t>
      </w:r>
    </w:p>
    <w:p w14:paraId="10549EE5">
      <w:pPr>
        <w:spacing w:line="520" w:lineRule="exact"/>
        <w:ind w:firstLine="480"/>
        <w:rPr>
          <w:rFonts w:hint="eastAsia" w:ascii="宋体" w:hAnsi="宋体" w:cs="宋体"/>
          <w:bCs/>
        </w:rPr>
      </w:pPr>
      <w:r>
        <w:rPr>
          <w:rFonts w:hint="eastAsia" w:ascii="宋体" w:hAnsi="宋体" w:cs="宋体"/>
          <w:bCs/>
        </w:rPr>
        <w:t>根据《中华人民共和国民法典》及相关技术规范的规定，甲乙双方经友好协商，特订立本合同，双方共同遵守。</w:t>
      </w:r>
    </w:p>
    <w:p w14:paraId="50F3939D">
      <w:pPr>
        <w:spacing w:line="520" w:lineRule="exact"/>
        <w:ind w:firstLine="482"/>
        <w:rPr>
          <w:rFonts w:hint="eastAsia"/>
          <w:b/>
          <w:bCs/>
        </w:rPr>
      </w:pPr>
      <w:r>
        <w:rPr>
          <w:rFonts w:hint="eastAsia"/>
          <w:b/>
          <w:bCs/>
        </w:rPr>
        <w:t>1. 设备及服务名称、型号、数量及金额等</w:t>
      </w:r>
    </w:p>
    <w:p w14:paraId="20929F5C">
      <w:pPr>
        <w:spacing w:line="520" w:lineRule="exact"/>
        <w:ind w:firstLine="482"/>
        <w:rPr>
          <w:b/>
          <w:bCs/>
        </w:rPr>
      </w:pPr>
      <w:r>
        <w:rPr>
          <w:b/>
          <w:bCs/>
        </w:rPr>
        <w:t>1.1</w:t>
      </w:r>
      <w:r>
        <w:rPr>
          <w:rFonts w:hint="eastAsia"/>
          <w:b/>
          <w:bCs/>
        </w:rPr>
        <w:t>、项目名称</w:t>
      </w:r>
      <w:r>
        <w:rPr>
          <w:b/>
          <w:bCs/>
        </w:rPr>
        <w:t xml:space="preserve">: </w:t>
      </w:r>
      <w:r>
        <w:rPr>
          <w:rFonts w:hint="eastAsia"/>
          <w:b/>
          <w:bCs/>
          <w:u w:val="single"/>
        </w:rPr>
        <w:t xml:space="preserve">                          </w:t>
      </w:r>
    </w:p>
    <w:p w14:paraId="74042865">
      <w:pPr>
        <w:spacing w:line="520" w:lineRule="exact"/>
        <w:ind w:firstLine="482"/>
        <w:rPr>
          <w:b/>
          <w:bCs/>
          <w:u w:val="single"/>
        </w:rPr>
      </w:pPr>
      <w:r>
        <w:rPr>
          <w:b/>
          <w:bCs/>
        </w:rPr>
        <w:t>1.2</w:t>
      </w:r>
      <w:r>
        <w:rPr>
          <w:rFonts w:hint="eastAsia"/>
          <w:b/>
          <w:bCs/>
        </w:rPr>
        <w:t>、项目地点：</w:t>
      </w:r>
      <w:r>
        <w:rPr>
          <w:rFonts w:hint="eastAsia"/>
          <w:b/>
          <w:bCs/>
          <w:u w:val="single"/>
        </w:rPr>
        <w:t xml:space="preserve">                          </w:t>
      </w:r>
    </w:p>
    <w:p w14:paraId="27F13354">
      <w:pPr>
        <w:spacing w:line="520" w:lineRule="exact"/>
        <w:ind w:firstLine="482"/>
        <w:rPr>
          <w:b/>
          <w:bCs/>
        </w:rPr>
      </w:pPr>
      <w:r>
        <w:rPr>
          <w:rFonts w:hint="eastAsia"/>
          <w:b/>
          <w:bCs/>
        </w:rPr>
        <w:t>1.3、设备、服务名称及型号</w:t>
      </w:r>
    </w:p>
    <w:tbl>
      <w:tblPr>
        <w:tblStyle w:val="6"/>
        <w:tblW w:w="89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989"/>
        <w:gridCol w:w="1870"/>
        <w:gridCol w:w="660"/>
        <w:gridCol w:w="705"/>
        <w:gridCol w:w="1320"/>
        <w:gridCol w:w="1536"/>
        <w:gridCol w:w="846"/>
      </w:tblGrid>
      <w:tr w14:paraId="46C323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jc w:val="center"/>
        </w:trPr>
        <w:tc>
          <w:tcPr>
            <w:tcW w:w="1989" w:type="dxa"/>
            <w:tcBorders>
              <w:top w:val="single" w:color="auto" w:sz="4" w:space="0"/>
              <w:left w:val="single" w:color="auto" w:sz="4" w:space="0"/>
              <w:bottom w:val="single" w:color="auto" w:sz="4" w:space="0"/>
              <w:right w:val="single" w:color="auto" w:sz="4" w:space="0"/>
            </w:tcBorders>
            <w:vAlign w:val="center"/>
          </w:tcPr>
          <w:p w14:paraId="6A367DA8">
            <w:pPr>
              <w:snapToGrid w:val="0"/>
              <w:spacing w:line="520" w:lineRule="exact"/>
              <w:ind w:left="-350" w:leftChars="-125"/>
              <w:jc w:val="center"/>
              <w:rPr>
                <w:rFonts w:ascii="宋体" w:hAnsi="宋体" w:cs="宋体"/>
                <w:bCs/>
              </w:rPr>
            </w:pPr>
            <w:r>
              <w:rPr>
                <w:rFonts w:hint="eastAsia" w:ascii="宋体" w:hAnsi="宋体" w:cs="宋体"/>
                <w:bCs/>
              </w:rPr>
              <w:t>设备名称</w:t>
            </w:r>
          </w:p>
        </w:tc>
        <w:tc>
          <w:tcPr>
            <w:tcW w:w="1870" w:type="dxa"/>
            <w:tcBorders>
              <w:top w:val="single" w:color="auto" w:sz="4" w:space="0"/>
              <w:left w:val="single" w:color="auto" w:sz="4" w:space="0"/>
              <w:bottom w:val="single" w:color="auto" w:sz="4" w:space="0"/>
              <w:right w:val="single" w:color="auto" w:sz="4" w:space="0"/>
            </w:tcBorders>
            <w:vAlign w:val="center"/>
          </w:tcPr>
          <w:p w14:paraId="376B0ECC">
            <w:pPr>
              <w:snapToGrid w:val="0"/>
              <w:spacing w:line="520" w:lineRule="exact"/>
              <w:ind w:left="-350" w:leftChars="-125"/>
              <w:jc w:val="center"/>
              <w:rPr>
                <w:rFonts w:ascii="宋体" w:hAnsi="宋体" w:cs="宋体"/>
                <w:bCs/>
              </w:rPr>
            </w:pPr>
            <w:r>
              <w:rPr>
                <w:rFonts w:hint="eastAsia" w:ascii="宋体" w:hAnsi="宋体" w:cs="宋体"/>
                <w:bCs/>
              </w:rPr>
              <w:t>规格型号</w:t>
            </w:r>
          </w:p>
        </w:tc>
        <w:tc>
          <w:tcPr>
            <w:tcW w:w="660" w:type="dxa"/>
            <w:tcBorders>
              <w:top w:val="single" w:color="auto" w:sz="4" w:space="0"/>
              <w:left w:val="single" w:color="auto" w:sz="4" w:space="0"/>
              <w:bottom w:val="single" w:color="auto" w:sz="4" w:space="0"/>
              <w:right w:val="single" w:color="auto" w:sz="4" w:space="0"/>
            </w:tcBorders>
            <w:vAlign w:val="center"/>
          </w:tcPr>
          <w:p w14:paraId="2CC8C409">
            <w:pPr>
              <w:snapToGrid w:val="0"/>
              <w:spacing w:line="520" w:lineRule="exact"/>
              <w:jc w:val="center"/>
              <w:rPr>
                <w:rFonts w:ascii="宋体" w:hAnsi="宋体" w:cs="宋体"/>
                <w:bCs/>
              </w:rPr>
            </w:pPr>
            <w:r>
              <w:rPr>
                <w:rFonts w:hint="eastAsia" w:ascii="宋体" w:hAnsi="宋体" w:cs="宋体"/>
                <w:bCs/>
              </w:rPr>
              <w:t>单位</w:t>
            </w:r>
          </w:p>
        </w:tc>
        <w:tc>
          <w:tcPr>
            <w:tcW w:w="705" w:type="dxa"/>
            <w:tcBorders>
              <w:top w:val="single" w:color="auto" w:sz="4" w:space="0"/>
              <w:left w:val="single" w:color="auto" w:sz="4" w:space="0"/>
              <w:bottom w:val="single" w:color="auto" w:sz="4" w:space="0"/>
              <w:right w:val="single" w:color="auto" w:sz="4" w:space="0"/>
            </w:tcBorders>
            <w:vAlign w:val="center"/>
          </w:tcPr>
          <w:p w14:paraId="0569AE31">
            <w:pPr>
              <w:snapToGrid w:val="0"/>
              <w:spacing w:line="520" w:lineRule="exact"/>
              <w:jc w:val="center"/>
              <w:rPr>
                <w:rFonts w:ascii="宋体" w:hAnsi="宋体" w:cs="宋体"/>
                <w:bCs/>
              </w:rPr>
            </w:pPr>
            <w:r>
              <w:rPr>
                <w:rFonts w:hint="eastAsia" w:ascii="宋体" w:hAnsi="宋体" w:cs="宋体"/>
                <w:bCs/>
              </w:rPr>
              <w:t>数量</w:t>
            </w:r>
          </w:p>
        </w:tc>
        <w:tc>
          <w:tcPr>
            <w:tcW w:w="1320" w:type="dxa"/>
            <w:tcBorders>
              <w:top w:val="single" w:color="auto" w:sz="4" w:space="0"/>
              <w:left w:val="single" w:color="auto" w:sz="4" w:space="0"/>
              <w:bottom w:val="single" w:color="auto" w:sz="4" w:space="0"/>
              <w:right w:val="single" w:color="auto" w:sz="4" w:space="0"/>
            </w:tcBorders>
            <w:vAlign w:val="center"/>
          </w:tcPr>
          <w:p w14:paraId="49E77C5E">
            <w:pPr>
              <w:snapToGrid w:val="0"/>
              <w:spacing w:line="520" w:lineRule="exact"/>
              <w:jc w:val="center"/>
              <w:rPr>
                <w:rFonts w:ascii="宋体" w:hAnsi="宋体" w:cs="宋体"/>
                <w:bCs/>
              </w:rPr>
            </w:pPr>
            <w:r>
              <w:rPr>
                <w:rFonts w:hint="eastAsia" w:ascii="宋体" w:hAnsi="宋体" w:cs="宋体"/>
                <w:bCs/>
              </w:rPr>
              <w:t>单价（元）</w:t>
            </w:r>
          </w:p>
        </w:tc>
        <w:tc>
          <w:tcPr>
            <w:tcW w:w="1536" w:type="dxa"/>
            <w:tcBorders>
              <w:top w:val="single" w:color="auto" w:sz="4" w:space="0"/>
              <w:left w:val="single" w:color="auto" w:sz="4" w:space="0"/>
              <w:bottom w:val="single" w:color="auto" w:sz="4" w:space="0"/>
              <w:right w:val="single" w:color="auto" w:sz="4" w:space="0"/>
            </w:tcBorders>
            <w:vAlign w:val="center"/>
          </w:tcPr>
          <w:p w14:paraId="07136169">
            <w:pPr>
              <w:snapToGrid w:val="0"/>
              <w:spacing w:line="520" w:lineRule="exact"/>
              <w:jc w:val="center"/>
              <w:rPr>
                <w:rFonts w:ascii="宋体" w:hAnsi="宋体" w:cs="宋体"/>
                <w:bCs/>
              </w:rPr>
            </w:pPr>
            <w:r>
              <w:rPr>
                <w:rFonts w:hint="eastAsia" w:ascii="宋体" w:hAnsi="宋体" w:cs="宋体"/>
                <w:bCs/>
              </w:rPr>
              <w:t>总价（元）</w:t>
            </w:r>
          </w:p>
        </w:tc>
        <w:tc>
          <w:tcPr>
            <w:tcW w:w="846" w:type="dxa"/>
            <w:tcBorders>
              <w:top w:val="single" w:color="auto" w:sz="4" w:space="0"/>
              <w:left w:val="single" w:color="auto" w:sz="4" w:space="0"/>
              <w:bottom w:val="single" w:color="auto" w:sz="4" w:space="0"/>
              <w:right w:val="single" w:color="auto" w:sz="4" w:space="0"/>
            </w:tcBorders>
            <w:vAlign w:val="center"/>
          </w:tcPr>
          <w:p w14:paraId="26C74EFB">
            <w:pPr>
              <w:snapToGrid w:val="0"/>
              <w:spacing w:line="520" w:lineRule="exact"/>
              <w:jc w:val="center"/>
              <w:rPr>
                <w:rFonts w:ascii="宋体" w:hAnsi="宋体" w:cs="宋体"/>
                <w:bCs/>
              </w:rPr>
            </w:pPr>
            <w:r>
              <w:rPr>
                <w:rFonts w:hint="eastAsia" w:ascii="宋体" w:hAnsi="宋体" w:cs="宋体"/>
                <w:bCs/>
              </w:rPr>
              <w:t>税率</w:t>
            </w:r>
          </w:p>
        </w:tc>
      </w:tr>
      <w:tr w14:paraId="7A4C31F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2" w:hRule="atLeast"/>
          <w:jc w:val="center"/>
        </w:trPr>
        <w:tc>
          <w:tcPr>
            <w:tcW w:w="1989" w:type="dxa"/>
            <w:tcBorders>
              <w:top w:val="single" w:color="auto" w:sz="4" w:space="0"/>
              <w:left w:val="single" w:color="auto" w:sz="4" w:space="0"/>
              <w:right w:val="single" w:color="auto" w:sz="4" w:space="0"/>
            </w:tcBorders>
            <w:vAlign w:val="center"/>
          </w:tcPr>
          <w:p w14:paraId="231556C4">
            <w:pPr>
              <w:snapToGrid w:val="0"/>
              <w:spacing w:line="520" w:lineRule="exact"/>
              <w:jc w:val="center"/>
              <w:rPr>
                <w:rFonts w:ascii="宋体" w:hAnsi="宋体" w:cs="宋体"/>
                <w:bCs/>
              </w:rPr>
            </w:pPr>
          </w:p>
        </w:tc>
        <w:tc>
          <w:tcPr>
            <w:tcW w:w="1870" w:type="dxa"/>
            <w:tcBorders>
              <w:top w:val="single" w:color="auto" w:sz="4" w:space="0"/>
              <w:left w:val="single" w:color="auto" w:sz="4" w:space="0"/>
              <w:right w:val="single" w:color="auto" w:sz="4" w:space="0"/>
            </w:tcBorders>
            <w:vAlign w:val="center"/>
          </w:tcPr>
          <w:p w14:paraId="054B9FBE">
            <w:pPr>
              <w:snapToGrid w:val="0"/>
              <w:spacing w:line="520" w:lineRule="exact"/>
              <w:jc w:val="center"/>
              <w:rPr>
                <w:rFonts w:ascii="宋体" w:hAnsi="宋体" w:cs="宋体"/>
                <w:bCs/>
              </w:rPr>
            </w:pPr>
          </w:p>
        </w:tc>
        <w:tc>
          <w:tcPr>
            <w:tcW w:w="660" w:type="dxa"/>
            <w:tcBorders>
              <w:top w:val="single" w:color="auto" w:sz="4" w:space="0"/>
              <w:left w:val="single" w:color="auto" w:sz="4" w:space="0"/>
              <w:bottom w:val="single" w:color="auto" w:sz="4" w:space="0"/>
              <w:right w:val="single" w:color="auto" w:sz="4" w:space="0"/>
            </w:tcBorders>
            <w:vAlign w:val="center"/>
          </w:tcPr>
          <w:p w14:paraId="4A144570">
            <w:pPr>
              <w:snapToGrid w:val="0"/>
              <w:spacing w:line="520" w:lineRule="exact"/>
              <w:ind w:left="-350" w:leftChars="-125"/>
              <w:jc w:val="center"/>
              <w:rPr>
                <w:rFonts w:ascii="宋体" w:hAnsi="宋体" w:cs="宋体"/>
                <w:bCs/>
              </w:rPr>
            </w:pPr>
          </w:p>
        </w:tc>
        <w:tc>
          <w:tcPr>
            <w:tcW w:w="705" w:type="dxa"/>
            <w:tcBorders>
              <w:top w:val="single" w:color="auto" w:sz="4" w:space="0"/>
              <w:left w:val="single" w:color="auto" w:sz="4" w:space="0"/>
              <w:bottom w:val="single" w:color="auto" w:sz="4" w:space="0"/>
              <w:right w:val="single" w:color="auto" w:sz="4" w:space="0"/>
            </w:tcBorders>
            <w:vAlign w:val="center"/>
          </w:tcPr>
          <w:p w14:paraId="5683651C">
            <w:pPr>
              <w:snapToGrid w:val="0"/>
              <w:spacing w:line="520" w:lineRule="exact"/>
              <w:ind w:left="-350" w:leftChars="-125"/>
              <w:jc w:val="center"/>
              <w:rPr>
                <w:rFonts w:ascii="宋体" w:hAnsi="宋体" w:cs="宋体"/>
                <w:bCs/>
              </w:rPr>
            </w:pPr>
          </w:p>
        </w:tc>
        <w:tc>
          <w:tcPr>
            <w:tcW w:w="1320" w:type="dxa"/>
            <w:tcBorders>
              <w:top w:val="single" w:color="auto" w:sz="4" w:space="0"/>
              <w:left w:val="single" w:color="auto" w:sz="4" w:space="0"/>
              <w:bottom w:val="single" w:color="auto" w:sz="4" w:space="0"/>
              <w:right w:val="single" w:color="auto" w:sz="4" w:space="0"/>
            </w:tcBorders>
            <w:vAlign w:val="center"/>
          </w:tcPr>
          <w:p w14:paraId="037DE8CE">
            <w:pPr>
              <w:snapToGrid w:val="0"/>
              <w:spacing w:line="520" w:lineRule="exact"/>
              <w:jc w:val="center"/>
              <w:rPr>
                <w:rFonts w:ascii="宋体" w:hAnsi="宋体" w:cs="宋体"/>
                <w:bCs/>
              </w:rPr>
            </w:pPr>
          </w:p>
        </w:tc>
        <w:tc>
          <w:tcPr>
            <w:tcW w:w="1536" w:type="dxa"/>
            <w:tcBorders>
              <w:top w:val="single" w:color="auto" w:sz="4" w:space="0"/>
              <w:left w:val="single" w:color="auto" w:sz="4" w:space="0"/>
              <w:bottom w:val="single" w:color="auto" w:sz="4" w:space="0"/>
              <w:right w:val="single" w:color="auto" w:sz="4" w:space="0"/>
            </w:tcBorders>
            <w:vAlign w:val="center"/>
          </w:tcPr>
          <w:p w14:paraId="0280D659">
            <w:pPr>
              <w:snapToGrid w:val="0"/>
              <w:spacing w:line="520" w:lineRule="exact"/>
              <w:jc w:val="center"/>
              <w:rPr>
                <w:rFonts w:ascii="宋体" w:hAnsi="宋体" w:cs="宋体"/>
                <w:bCs/>
              </w:rPr>
            </w:pPr>
          </w:p>
        </w:tc>
        <w:tc>
          <w:tcPr>
            <w:tcW w:w="846" w:type="dxa"/>
            <w:tcBorders>
              <w:top w:val="single" w:color="auto" w:sz="4" w:space="0"/>
              <w:left w:val="single" w:color="auto" w:sz="4" w:space="0"/>
              <w:bottom w:val="single" w:color="auto" w:sz="4" w:space="0"/>
              <w:right w:val="single" w:color="auto" w:sz="4" w:space="0"/>
            </w:tcBorders>
            <w:vAlign w:val="center"/>
          </w:tcPr>
          <w:p w14:paraId="6DF94F21">
            <w:pPr>
              <w:snapToGrid w:val="0"/>
              <w:spacing w:line="520" w:lineRule="exact"/>
              <w:ind w:left="-350" w:leftChars="-125"/>
              <w:jc w:val="center"/>
              <w:rPr>
                <w:rFonts w:ascii="宋体" w:hAnsi="宋体" w:cs="宋体"/>
                <w:bCs/>
              </w:rPr>
            </w:pPr>
          </w:p>
        </w:tc>
      </w:tr>
      <w:tr w14:paraId="1B392E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2" w:hRule="atLeast"/>
          <w:jc w:val="center"/>
        </w:trPr>
        <w:tc>
          <w:tcPr>
            <w:tcW w:w="1989" w:type="dxa"/>
            <w:tcBorders>
              <w:top w:val="single" w:color="auto" w:sz="4" w:space="0"/>
              <w:left w:val="single" w:color="auto" w:sz="4" w:space="0"/>
              <w:right w:val="single" w:color="auto" w:sz="4" w:space="0"/>
            </w:tcBorders>
            <w:vAlign w:val="center"/>
          </w:tcPr>
          <w:p w14:paraId="229C4B55">
            <w:pPr>
              <w:snapToGrid w:val="0"/>
              <w:spacing w:line="520" w:lineRule="exact"/>
              <w:jc w:val="center"/>
              <w:rPr>
                <w:rFonts w:ascii="宋体" w:hAnsi="宋体" w:cs="宋体"/>
                <w:bCs/>
              </w:rPr>
            </w:pPr>
          </w:p>
        </w:tc>
        <w:tc>
          <w:tcPr>
            <w:tcW w:w="1870" w:type="dxa"/>
            <w:tcBorders>
              <w:top w:val="single" w:color="auto" w:sz="4" w:space="0"/>
              <w:left w:val="single" w:color="auto" w:sz="4" w:space="0"/>
              <w:right w:val="single" w:color="auto" w:sz="4" w:space="0"/>
            </w:tcBorders>
            <w:vAlign w:val="center"/>
          </w:tcPr>
          <w:p w14:paraId="15D7FBE6">
            <w:pPr>
              <w:snapToGrid w:val="0"/>
              <w:spacing w:line="520" w:lineRule="exact"/>
              <w:jc w:val="center"/>
              <w:rPr>
                <w:rFonts w:ascii="宋体" w:hAnsi="宋体" w:cs="宋体"/>
                <w:bCs/>
              </w:rPr>
            </w:pPr>
          </w:p>
        </w:tc>
        <w:tc>
          <w:tcPr>
            <w:tcW w:w="660" w:type="dxa"/>
            <w:tcBorders>
              <w:top w:val="single" w:color="auto" w:sz="4" w:space="0"/>
              <w:left w:val="single" w:color="auto" w:sz="4" w:space="0"/>
              <w:bottom w:val="single" w:color="auto" w:sz="4" w:space="0"/>
              <w:right w:val="single" w:color="auto" w:sz="4" w:space="0"/>
            </w:tcBorders>
            <w:vAlign w:val="center"/>
          </w:tcPr>
          <w:p w14:paraId="2C75DB08">
            <w:pPr>
              <w:snapToGrid w:val="0"/>
              <w:spacing w:line="520" w:lineRule="exact"/>
              <w:ind w:left="-350" w:leftChars="-125"/>
              <w:jc w:val="center"/>
              <w:rPr>
                <w:rFonts w:ascii="宋体" w:hAnsi="宋体" w:cs="宋体"/>
                <w:bCs/>
              </w:rPr>
            </w:pPr>
          </w:p>
        </w:tc>
        <w:tc>
          <w:tcPr>
            <w:tcW w:w="705" w:type="dxa"/>
            <w:tcBorders>
              <w:top w:val="single" w:color="auto" w:sz="4" w:space="0"/>
              <w:left w:val="single" w:color="auto" w:sz="4" w:space="0"/>
              <w:bottom w:val="single" w:color="auto" w:sz="4" w:space="0"/>
              <w:right w:val="single" w:color="auto" w:sz="4" w:space="0"/>
            </w:tcBorders>
            <w:vAlign w:val="center"/>
          </w:tcPr>
          <w:p w14:paraId="0E341771">
            <w:pPr>
              <w:snapToGrid w:val="0"/>
              <w:spacing w:line="520" w:lineRule="exact"/>
              <w:ind w:left="-350" w:leftChars="-125"/>
              <w:jc w:val="center"/>
              <w:rPr>
                <w:rFonts w:ascii="宋体" w:hAnsi="宋体" w:cs="宋体"/>
                <w:bCs/>
              </w:rPr>
            </w:pPr>
          </w:p>
        </w:tc>
        <w:tc>
          <w:tcPr>
            <w:tcW w:w="1320" w:type="dxa"/>
            <w:tcBorders>
              <w:top w:val="single" w:color="auto" w:sz="4" w:space="0"/>
              <w:left w:val="single" w:color="auto" w:sz="4" w:space="0"/>
              <w:bottom w:val="single" w:color="auto" w:sz="4" w:space="0"/>
              <w:right w:val="single" w:color="auto" w:sz="4" w:space="0"/>
            </w:tcBorders>
            <w:vAlign w:val="center"/>
          </w:tcPr>
          <w:p w14:paraId="66941CB9">
            <w:pPr>
              <w:snapToGrid w:val="0"/>
              <w:spacing w:line="520" w:lineRule="exact"/>
              <w:jc w:val="center"/>
              <w:rPr>
                <w:rFonts w:ascii="宋体" w:hAnsi="宋体" w:cs="宋体"/>
                <w:bCs/>
              </w:rPr>
            </w:pPr>
          </w:p>
        </w:tc>
        <w:tc>
          <w:tcPr>
            <w:tcW w:w="1536" w:type="dxa"/>
            <w:tcBorders>
              <w:top w:val="single" w:color="auto" w:sz="4" w:space="0"/>
              <w:left w:val="single" w:color="auto" w:sz="4" w:space="0"/>
              <w:bottom w:val="single" w:color="auto" w:sz="4" w:space="0"/>
              <w:right w:val="single" w:color="auto" w:sz="4" w:space="0"/>
            </w:tcBorders>
            <w:vAlign w:val="center"/>
          </w:tcPr>
          <w:p w14:paraId="0E20DCF4">
            <w:pPr>
              <w:snapToGrid w:val="0"/>
              <w:spacing w:line="520" w:lineRule="exact"/>
              <w:jc w:val="center"/>
              <w:rPr>
                <w:rFonts w:ascii="宋体" w:hAnsi="宋体" w:cs="宋体"/>
                <w:bCs/>
              </w:rPr>
            </w:pPr>
          </w:p>
        </w:tc>
        <w:tc>
          <w:tcPr>
            <w:tcW w:w="846" w:type="dxa"/>
            <w:tcBorders>
              <w:top w:val="single" w:color="auto" w:sz="4" w:space="0"/>
              <w:left w:val="single" w:color="auto" w:sz="4" w:space="0"/>
              <w:bottom w:val="single" w:color="auto" w:sz="4" w:space="0"/>
              <w:right w:val="single" w:color="auto" w:sz="4" w:space="0"/>
            </w:tcBorders>
            <w:vAlign w:val="center"/>
          </w:tcPr>
          <w:p w14:paraId="17075F5A">
            <w:pPr>
              <w:snapToGrid w:val="0"/>
              <w:spacing w:line="520" w:lineRule="exact"/>
              <w:ind w:left="-350" w:leftChars="-125"/>
              <w:jc w:val="center"/>
              <w:rPr>
                <w:rFonts w:ascii="宋体" w:hAnsi="宋体" w:cs="宋体"/>
                <w:bCs/>
              </w:rPr>
            </w:pPr>
          </w:p>
        </w:tc>
      </w:tr>
      <w:tr w14:paraId="3835F5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2" w:hRule="atLeast"/>
          <w:jc w:val="center"/>
        </w:trPr>
        <w:tc>
          <w:tcPr>
            <w:tcW w:w="1989" w:type="dxa"/>
            <w:tcBorders>
              <w:top w:val="single" w:color="auto" w:sz="4" w:space="0"/>
              <w:left w:val="single" w:color="auto" w:sz="4" w:space="0"/>
              <w:right w:val="single" w:color="auto" w:sz="4" w:space="0"/>
            </w:tcBorders>
            <w:vAlign w:val="center"/>
          </w:tcPr>
          <w:p w14:paraId="55100B1C">
            <w:pPr>
              <w:snapToGrid w:val="0"/>
              <w:spacing w:line="520" w:lineRule="exact"/>
              <w:jc w:val="center"/>
              <w:rPr>
                <w:rFonts w:ascii="宋体" w:hAnsi="宋体" w:cs="宋体"/>
                <w:bCs/>
              </w:rPr>
            </w:pPr>
          </w:p>
        </w:tc>
        <w:tc>
          <w:tcPr>
            <w:tcW w:w="1870" w:type="dxa"/>
            <w:tcBorders>
              <w:top w:val="single" w:color="auto" w:sz="4" w:space="0"/>
              <w:left w:val="single" w:color="auto" w:sz="4" w:space="0"/>
              <w:right w:val="single" w:color="auto" w:sz="4" w:space="0"/>
            </w:tcBorders>
            <w:vAlign w:val="center"/>
          </w:tcPr>
          <w:p w14:paraId="5FCA407C">
            <w:pPr>
              <w:snapToGrid w:val="0"/>
              <w:spacing w:line="520" w:lineRule="exact"/>
              <w:jc w:val="center"/>
              <w:rPr>
                <w:rFonts w:ascii="宋体" w:hAnsi="宋体" w:cs="宋体"/>
                <w:bCs/>
              </w:rPr>
            </w:pPr>
          </w:p>
        </w:tc>
        <w:tc>
          <w:tcPr>
            <w:tcW w:w="660" w:type="dxa"/>
            <w:tcBorders>
              <w:top w:val="single" w:color="auto" w:sz="4" w:space="0"/>
              <w:left w:val="single" w:color="auto" w:sz="4" w:space="0"/>
              <w:bottom w:val="single" w:color="auto" w:sz="4" w:space="0"/>
              <w:right w:val="single" w:color="auto" w:sz="4" w:space="0"/>
            </w:tcBorders>
            <w:vAlign w:val="center"/>
          </w:tcPr>
          <w:p w14:paraId="1554CF46">
            <w:pPr>
              <w:snapToGrid w:val="0"/>
              <w:spacing w:line="520" w:lineRule="exact"/>
              <w:ind w:left="-350" w:leftChars="-125"/>
              <w:jc w:val="center"/>
              <w:rPr>
                <w:rFonts w:ascii="宋体" w:hAnsi="宋体" w:cs="宋体"/>
                <w:bCs/>
              </w:rPr>
            </w:pPr>
          </w:p>
        </w:tc>
        <w:tc>
          <w:tcPr>
            <w:tcW w:w="705" w:type="dxa"/>
            <w:tcBorders>
              <w:top w:val="single" w:color="auto" w:sz="4" w:space="0"/>
              <w:left w:val="single" w:color="auto" w:sz="4" w:space="0"/>
              <w:bottom w:val="single" w:color="auto" w:sz="4" w:space="0"/>
              <w:right w:val="single" w:color="auto" w:sz="4" w:space="0"/>
            </w:tcBorders>
            <w:vAlign w:val="center"/>
          </w:tcPr>
          <w:p w14:paraId="6E58934E">
            <w:pPr>
              <w:snapToGrid w:val="0"/>
              <w:spacing w:line="520" w:lineRule="exact"/>
              <w:ind w:left="-350" w:leftChars="-125"/>
              <w:jc w:val="center"/>
              <w:rPr>
                <w:rFonts w:ascii="宋体" w:hAnsi="宋体" w:cs="宋体"/>
                <w:bCs/>
              </w:rPr>
            </w:pPr>
          </w:p>
        </w:tc>
        <w:tc>
          <w:tcPr>
            <w:tcW w:w="1320" w:type="dxa"/>
            <w:tcBorders>
              <w:top w:val="single" w:color="auto" w:sz="4" w:space="0"/>
              <w:left w:val="single" w:color="auto" w:sz="4" w:space="0"/>
              <w:bottom w:val="single" w:color="auto" w:sz="4" w:space="0"/>
              <w:right w:val="single" w:color="auto" w:sz="4" w:space="0"/>
            </w:tcBorders>
            <w:vAlign w:val="center"/>
          </w:tcPr>
          <w:p w14:paraId="784EC736">
            <w:pPr>
              <w:snapToGrid w:val="0"/>
              <w:spacing w:line="520" w:lineRule="exact"/>
              <w:jc w:val="center"/>
              <w:rPr>
                <w:rFonts w:ascii="宋体" w:hAnsi="宋体" w:cs="宋体"/>
                <w:bCs/>
              </w:rPr>
            </w:pPr>
          </w:p>
        </w:tc>
        <w:tc>
          <w:tcPr>
            <w:tcW w:w="1536" w:type="dxa"/>
            <w:tcBorders>
              <w:top w:val="single" w:color="auto" w:sz="4" w:space="0"/>
              <w:left w:val="single" w:color="auto" w:sz="4" w:space="0"/>
              <w:bottom w:val="single" w:color="auto" w:sz="4" w:space="0"/>
              <w:right w:val="single" w:color="auto" w:sz="4" w:space="0"/>
            </w:tcBorders>
            <w:vAlign w:val="center"/>
          </w:tcPr>
          <w:p w14:paraId="361ACCE8">
            <w:pPr>
              <w:snapToGrid w:val="0"/>
              <w:spacing w:line="520" w:lineRule="exact"/>
              <w:jc w:val="center"/>
              <w:rPr>
                <w:rFonts w:ascii="宋体" w:hAnsi="宋体" w:cs="宋体"/>
                <w:bCs/>
              </w:rPr>
            </w:pPr>
          </w:p>
        </w:tc>
        <w:tc>
          <w:tcPr>
            <w:tcW w:w="846" w:type="dxa"/>
            <w:tcBorders>
              <w:top w:val="single" w:color="auto" w:sz="4" w:space="0"/>
              <w:left w:val="single" w:color="auto" w:sz="4" w:space="0"/>
              <w:bottom w:val="single" w:color="auto" w:sz="4" w:space="0"/>
              <w:right w:val="single" w:color="auto" w:sz="4" w:space="0"/>
            </w:tcBorders>
            <w:vAlign w:val="center"/>
          </w:tcPr>
          <w:p w14:paraId="5B55F532">
            <w:pPr>
              <w:snapToGrid w:val="0"/>
              <w:spacing w:line="520" w:lineRule="exact"/>
              <w:ind w:left="-350" w:leftChars="-125"/>
              <w:jc w:val="center"/>
              <w:rPr>
                <w:rFonts w:ascii="宋体" w:hAnsi="宋体" w:cs="宋体"/>
                <w:bCs/>
              </w:rPr>
            </w:pPr>
          </w:p>
        </w:tc>
      </w:tr>
      <w:tr w14:paraId="6DD1CD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2" w:hRule="atLeast"/>
          <w:jc w:val="center"/>
        </w:trPr>
        <w:tc>
          <w:tcPr>
            <w:tcW w:w="1989" w:type="dxa"/>
            <w:tcBorders>
              <w:top w:val="single" w:color="auto" w:sz="4" w:space="0"/>
              <w:left w:val="single" w:color="auto" w:sz="4" w:space="0"/>
              <w:right w:val="single" w:color="auto" w:sz="4" w:space="0"/>
            </w:tcBorders>
            <w:vAlign w:val="center"/>
          </w:tcPr>
          <w:p w14:paraId="7988E97D">
            <w:pPr>
              <w:snapToGrid w:val="0"/>
              <w:spacing w:line="520" w:lineRule="exact"/>
              <w:jc w:val="center"/>
              <w:rPr>
                <w:rFonts w:ascii="宋体" w:hAnsi="宋体" w:cs="宋体"/>
                <w:bCs/>
              </w:rPr>
            </w:pPr>
          </w:p>
        </w:tc>
        <w:tc>
          <w:tcPr>
            <w:tcW w:w="1870" w:type="dxa"/>
            <w:tcBorders>
              <w:top w:val="single" w:color="auto" w:sz="4" w:space="0"/>
              <w:left w:val="single" w:color="auto" w:sz="4" w:space="0"/>
              <w:right w:val="single" w:color="auto" w:sz="4" w:space="0"/>
            </w:tcBorders>
            <w:vAlign w:val="center"/>
          </w:tcPr>
          <w:p w14:paraId="32EF00D7">
            <w:pPr>
              <w:snapToGrid w:val="0"/>
              <w:spacing w:line="520" w:lineRule="exact"/>
              <w:jc w:val="center"/>
              <w:rPr>
                <w:rFonts w:ascii="宋体" w:hAnsi="宋体" w:cs="宋体"/>
                <w:bCs/>
              </w:rPr>
            </w:pPr>
          </w:p>
        </w:tc>
        <w:tc>
          <w:tcPr>
            <w:tcW w:w="660" w:type="dxa"/>
            <w:tcBorders>
              <w:top w:val="single" w:color="auto" w:sz="4" w:space="0"/>
              <w:left w:val="single" w:color="auto" w:sz="4" w:space="0"/>
              <w:bottom w:val="single" w:color="auto" w:sz="4" w:space="0"/>
              <w:right w:val="single" w:color="auto" w:sz="4" w:space="0"/>
            </w:tcBorders>
            <w:vAlign w:val="center"/>
          </w:tcPr>
          <w:p w14:paraId="539991FB">
            <w:pPr>
              <w:snapToGrid w:val="0"/>
              <w:spacing w:line="520" w:lineRule="exact"/>
              <w:ind w:left="-350" w:leftChars="-125"/>
              <w:jc w:val="center"/>
              <w:rPr>
                <w:rFonts w:ascii="宋体" w:hAnsi="宋体" w:cs="宋体"/>
                <w:bCs/>
              </w:rPr>
            </w:pPr>
          </w:p>
        </w:tc>
        <w:tc>
          <w:tcPr>
            <w:tcW w:w="705" w:type="dxa"/>
            <w:tcBorders>
              <w:top w:val="single" w:color="auto" w:sz="4" w:space="0"/>
              <w:left w:val="single" w:color="auto" w:sz="4" w:space="0"/>
              <w:bottom w:val="single" w:color="auto" w:sz="4" w:space="0"/>
              <w:right w:val="single" w:color="auto" w:sz="4" w:space="0"/>
            </w:tcBorders>
            <w:vAlign w:val="center"/>
          </w:tcPr>
          <w:p w14:paraId="7A42C182">
            <w:pPr>
              <w:snapToGrid w:val="0"/>
              <w:spacing w:line="520" w:lineRule="exact"/>
              <w:ind w:left="-350" w:leftChars="-125"/>
              <w:jc w:val="center"/>
              <w:rPr>
                <w:rFonts w:ascii="宋体" w:hAnsi="宋体" w:cs="宋体"/>
                <w:bCs/>
              </w:rPr>
            </w:pPr>
          </w:p>
        </w:tc>
        <w:tc>
          <w:tcPr>
            <w:tcW w:w="1320" w:type="dxa"/>
            <w:tcBorders>
              <w:top w:val="single" w:color="auto" w:sz="4" w:space="0"/>
              <w:left w:val="single" w:color="auto" w:sz="4" w:space="0"/>
              <w:bottom w:val="single" w:color="auto" w:sz="4" w:space="0"/>
              <w:right w:val="single" w:color="auto" w:sz="4" w:space="0"/>
            </w:tcBorders>
            <w:vAlign w:val="center"/>
          </w:tcPr>
          <w:p w14:paraId="18D6E2DC">
            <w:pPr>
              <w:snapToGrid w:val="0"/>
              <w:spacing w:line="520" w:lineRule="exact"/>
              <w:jc w:val="center"/>
              <w:rPr>
                <w:rFonts w:ascii="宋体" w:hAnsi="宋体" w:cs="宋体"/>
                <w:bCs/>
              </w:rPr>
            </w:pPr>
          </w:p>
        </w:tc>
        <w:tc>
          <w:tcPr>
            <w:tcW w:w="1536" w:type="dxa"/>
            <w:tcBorders>
              <w:top w:val="single" w:color="auto" w:sz="4" w:space="0"/>
              <w:left w:val="single" w:color="auto" w:sz="4" w:space="0"/>
              <w:bottom w:val="single" w:color="auto" w:sz="4" w:space="0"/>
              <w:right w:val="single" w:color="auto" w:sz="4" w:space="0"/>
            </w:tcBorders>
            <w:vAlign w:val="center"/>
          </w:tcPr>
          <w:p w14:paraId="00C9917E">
            <w:pPr>
              <w:snapToGrid w:val="0"/>
              <w:spacing w:line="520" w:lineRule="exact"/>
              <w:jc w:val="center"/>
              <w:rPr>
                <w:rFonts w:ascii="宋体" w:hAnsi="宋体" w:cs="宋体"/>
                <w:bCs/>
              </w:rPr>
            </w:pPr>
          </w:p>
        </w:tc>
        <w:tc>
          <w:tcPr>
            <w:tcW w:w="846" w:type="dxa"/>
            <w:tcBorders>
              <w:top w:val="single" w:color="auto" w:sz="4" w:space="0"/>
              <w:left w:val="single" w:color="auto" w:sz="4" w:space="0"/>
              <w:bottom w:val="single" w:color="auto" w:sz="4" w:space="0"/>
              <w:right w:val="single" w:color="auto" w:sz="4" w:space="0"/>
            </w:tcBorders>
            <w:vAlign w:val="center"/>
          </w:tcPr>
          <w:p w14:paraId="37472AA1">
            <w:pPr>
              <w:snapToGrid w:val="0"/>
              <w:spacing w:line="520" w:lineRule="exact"/>
              <w:ind w:left="-350" w:leftChars="-125"/>
              <w:jc w:val="center"/>
              <w:rPr>
                <w:rFonts w:ascii="宋体" w:hAnsi="宋体" w:cs="宋体"/>
                <w:bCs/>
              </w:rPr>
            </w:pPr>
          </w:p>
        </w:tc>
      </w:tr>
      <w:tr w14:paraId="4F023B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2" w:hRule="atLeast"/>
          <w:jc w:val="center"/>
        </w:trPr>
        <w:tc>
          <w:tcPr>
            <w:tcW w:w="1989" w:type="dxa"/>
            <w:tcBorders>
              <w:left w:val="single" w:color="auto" w:sz="4" w:space="0"/>
              <w:right w:val="single" w:color="auto" w:sz="4" w:space="0"/>
            </w:tcBorders>
            <w:vAlign w:val="center"/>
          </w:tcPr>
          <w:p w14:paraId="4DC5CE71">
            <w:pPr>
              <w:snapToGrid w:val="0"/>
              <w:spacing w:line="520" w:lineRule="exact"/>
              <w:ind w:left="-350" w:leftChars="-125"/>
              <w:jc w:val="center"/>
              <w:rPr>
                <w:rFonts w:ascii="宋体" w:hAnsi="宋体" w:cs="宋体"/>
                <w:bCs/>
              </w:rPr>
            </w:pPr>
            <w:r>
              <w:rPr>
                <w:rFonts w:hint="eastAsia" w:ascii="宋体" w:hAnsi="宋体" w:cs="宋体"/>
                <w:bCs/>
              </w:rPr>
              <w:t>合计</w:t>
            </w:r>
          </w:p>
        </w:tc>
        <w:tc>
          <w:tcPr>
            <w:tcW w:w="4555" w:type="dxa"/>
            <w:gridSpan w:val="4"/>
            <w:tcBorders>
              <w:top w:val="single" w:color="auto" w:sz="4" w:space="0"/>
              <w:left w:val="single" w:color="auto" w:sz="4" w:space="0"/>
              <w:bottom w:val="single" w:color="auto" w:sz="4" w:space="0"/>
              <w:right w:val="single" w:color="auto" w:sz="4" w:space="0"/>
            </w:tcBorders>
            <w:vAlign w:val="center"/>
          </w:tcPr>
          <w:p w14:paraId="6B2B0238">
            <w:pPr>
              <w:snapToGrid w:val="0"/>
              <w:spacing w:line="520" w:lineRule="exact"/>
              <w:ind w:left="-350" w:leftChars="-125"/>
              <w:jc w:val="center"/>
              <w:rPr>
                <w:rFonts w:ascii="宋体" w:hAnsi="宋体" w:cs="宋体"/>
                <w:bCs/>
              </w:rPr>
            </w:pPr>
            <w:r>
              <w:rPr>
                <w:rFonts w:hint="eastAsia" w:ascii="宋体" w:hAnsi="宋体" w:cs="宋体"/>
                <w:bCs/>
              </w:rPr>
              <w:t>含税价</w:t>
            </w:r>
          </w:p>
        </w:tc>
        <w:tc>
          <w:tcPr>
            <w:tcW w:w="1536" w:type="dxa"/>
            <w:tcBorders>
              <w:top w:val="single" w:color="auto" w:sz="4" w:space="0"/>
              <w:left w:val="single" w:color="auto" w:sz="4" w:space="0"/>
              <w:bottom w:val="single" w:color="auto" w:sz="4" w:space="0"/>
              <w:right w:val="single" w:color="auto" w:sz="4" w:space="0"/>
            </w:tcBorders>
            <w:vAlign w:val="center"/>
          </w:tcPr>
          <w:p w14:paraId="7DA3644F">
            <w:pPr>
              <w:snapToGrid w:val="0"/>
              <w:spacing w:line="520" w:lineRule="exact"/>
              <w:ind w:left="-350" w:leftChars="-125"/>
              <w:jc w:val="center"/>
              <w:rPr>
                <w:rFonts w:ascii="宋体" w:hAnsi="宋体" w:cs="宋体"/>
                <w:bCs/>
              </w:rPr>
            </w:pPr>
          </w:p>
        </w:tc>
        <w:tc>
          <w:tcPr>
            <w:tcW w:w="846" w:type="dxa"/>
            <w:tcBorders>
              <w:top w:val="single" w:color="auto" w:sz="4" w:space="0"/>
              <w:left w:val="single" w:color="auto" w:sz="4" w:space="0"/>
              <w:bottom w:val="single" w:color="auto" w:sz="4" w:space="0"/>
              <w:right w:val="single" w:color="auto" w:sz="4" w:space="0"/>
            </w:tcBorders>
            <w:vAlign w:val="center"/>
          </w:tcPr>
          <w:p w14:paraId="2F249743">
            <w:pPr>
              <w:snapToGrid w:val="0"/>
              <w:spacing w:line="520" w:lineRule="exact"/>
              <w:ind w:left="-350" w:leftChars="-125"/>
              <w:jc w:val="center"/>
              <w:rPr>
                <w:rFonts w:ascii="宋体" w:hAnsi="宋体" w:cs="宋体"/>
                <w:bCs/>
              </w:rPr>
            </w:pPr>
          </w:p>
        </w:tc>
      </w:tr>
      <w:tr w14:paraId="206389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9" w:hRule="atLeast"/>
          <w:jc w:val="center"/>
        </w:trPr>
        <w:tc>
          <w:tcPr>
            <w:tcW w:w="1989" w:type="dxa"/>
            <w:tcBorders>
              <w:left w:val="single" w:color="auto" w:sz="4" w:space="0"/>
              <w:right w:val="single" w:color="auto" w:sz="4" w:space="0"/>
            </w:tcBorders>
            <w:vAlign w:val="center"/>
          </w:tcPr>
          <w:p w14:paraId="0D6BDC72">
            <w:pPr>
              <w:snapToGrid w:val="0"/>
              <w:spacing w:line="520" w:lineRule="exact"/>
              <w:jc w:val="center"/>
              <w:rPr>
                <w:rFonts w:ascii="宋体" w:hAnsi="宋体" w:cs="宋体"/>
                <w:bCs/>
              </w:rPr>
            </w:pPr>
            <w:r>
              <w:rPr>
                <w:rFonts w:hint="eastAsia" w:ascii="宋体" w:hAnsi="宋体" w:cs="宋体"/>
                <w:bCs/>
              </w:rPr>
              <w:t>合同含税总价</w:t>
            </w:r>
          </w:p>
        </w:tc>
        <w:tc>
          <w:tcPr>
            <w:tcW w:w="6937" w:type="dxa"/>
            <w:gridSpan w:val="6"/>
            <w:tcBorders>
              <w:top w:val="single" w:color="auto" w:sz="4" w:space="0"/>
              <w:left w:val="single" w:color="auto" w:sz="4" w:space="0"/>
              <w:bottom w:val="single" w:color="auto" w:sz="4" w:space="0"/>
              <w:right w:val="single" w:color="auto" w:sz="4" w:space="0"/>
            </w:tcBorders>
            <w:vAlign w:val="center"/>
          </w:tcPr>
          <w:p w14:paraId="4CA22982">
            <w:pPr>
              <w:snapToGrid w:val="0"/>
              <w:spacing w:line="520" w:lineRule="exact"/>
              <w:rPr>
                <w:rFonts w:ascii="宋体" w:hAnsi="宋体" w:cs="宋体"/>
                <w:bCs/>
              </w:rPr>
            </w:pPr>
            <w:r>
              <w:rPr>
                <w:rFonts w:hint="eastAsia" w:ascii="宋体" w:hAnsi="宋体" w:cs="宋体"/>
                <w:bCs/>
              </w:rPr>
              <w:t>（人民币大写）：                  （小写）：</w:t>
            </w:r>
          </w:p>
        </w:tc>
      </w:tr>
    </w:tbl>
    <w:p w14:paraId="42913B2C">
      <w:pPr>
        <w:spacing w:line="520" w:lineRule="exact"/>
        <w:ind w:firstLine="700" w:firstLineChars="250"/>
        <w:rPr>
          <w:rFonts w:ascii="宋体" w:hAnsi="宋体" w:cs="宋体"/>
          <w:bCs/>
        </w:rPr>
      </w:pPr>
      <w:r>
        <w:rPr>
          <w:rFonts w:hint="eastAsia" w:ascii="宋体" w:hAnsi="宋体" w:cs="宋体"/>
          <w:bCs/>
        </w:rPr>
        <w:t>1.4合同金额包含本项目所有费用，包括包括设备费、安装调试费、软件研发设计运维费用、运杂费（含保险）、仓储保管费、装卸费、安装费、培训、验收、招标代理费、税费等其他一切相关可能发生及不可预见费用等为完成全部采购内容所需的各种费用。付款方式为在项目竣工验收合格后支付项目款。</w:t>
      </w:r>
    </w:p>
    <w:p w14:paraId="70E3801B">
      <w:pPr>
        <w:spacing w:line="520" w:lineRule="exact"/>
        <w:ind w:firstLine="658" w:firstLineChars="235"/>
        <w:rPr>
          <w:rFonts w:ascii="宋体" w:hAnsi="宋体" w:cs="宋体"/>
          <w:bCs/>
        </w:rPr>
      </w:pPr>
      <w:r>
        <w:rPr>
          <w:rFonts w:hint="eastAsia" w:ascii="宋体" w:hAnsi="宋体" w:cs="宋体"/>
          <w:bCs/>
        </w:rPr>
        <w:t>1.5设备及服务配置清单及参数详见附件1；设备及服务技术资料清单详见附件2。</w:t>
      </w:r>
    </w:p>
    <w:p w14:paraId="332A2D89">
      <w:pPr>
        <w:numPr>
          <w:ilvl w:val="0"/>
          <w:numId w:val="1"/>
        </w:numPr>
        <w:autoSpaceDE/>
        <w:autoSpaceDN/>
        <w:adjustRightInd/>
        <w:spacing w:line="520" w:lineRule="exact"/>
        <w:ind w:left="3" w:firstLine="565" w:firstLineChars="201"/>
        <w:jc w:val="both"/>
        <w:rPr>
          <w:rFonts w:ascii="宋体" w:hAnsi="宋体" w:cs="宋体"/>
          <w:bCs/>
        </w:rPr>
      </w:pPr>
      <w:r>
        <w:rPr>
          <w:rFonts w:hint="eastAsia" w:ascii="宋体" w:hAnsi="宋体" w:cs="宋体"/>
          <w:b/>
        </w:rPr>
        <w:t>设备制造商</w:t>
      </w:r>
      <w:r>
        <w:rPr>
          <w:rFonts w:hint="eastAsia" w:ascii="宋体" w:hAnsi="宋体" w:cs="宋体"/>
          <w:bCs/>
        </w:rPr>
        <w:t>：售后服务由</w:t>
      </w:r>
      <w:r>
        <w:rPr>
          <w:rFonts w:hint="eastAsia" w:ascii="宋体" w:hAnsi="宋体" w:cs="宋体"/>
          <w:bCs/>
          <w:u w:val="single"/>
        </w:rPr>
        <w:t xml:space="preserve">                公司</w:t>
      </w:r>
      <w:r>
        <w:rPr>
          <w:rFonts w:hint="eastAsia" w:ascii="宋体" w:hAnsi="宋体" w:cs="宋体"/>
          <w:bCs/>
        </w:rPr>
        <w:t>全部负责，甲方不再需要向乙方的其他合作厂商求售后服务及技术支持。</w:t>
      </w:r>
    </w:p>
    <w:p w14:paraId="561676BC">
      <w:pPr>
        <w:spacing w:line="520" w:lineRule="exact"/>
        <w:ind w:firstLine="482"/>
        <w:rPr>
          <w:rFonts w:ascii="宋体" w:hAnsi="宋体" w:cs="宋体"/>
          <w:b/>
        </w:rPr>
      </w:pPr>
      <w:r>
        <w:rPr>
          <w:rFonts w:hint="eastAsia" w:ascii="宋体" w:hAnsi="宋体" w:cs="宋体"/>
          <w:b/>
        </w:rPr>
        <w:t>3. 包装</w:t>
      </w:r>
    </w:p>
    <w:p w14:paraId="46EA8FC1">
      <w:pPr>
        <w:spacing w:line="520" w:lineRule="exact"/>
        <w:ind w:firstLine="480"/>
        <w:rPr>
          <w:rFonts w:ascii="宋体" w:hAnsi="宋体" w:cs="宋体"/>
          <w:bCs/>
          <w:spacing w:val="-5"/>
        </w:rPr>
      </w:pPr>
      <w:r>
        <w:rPr>
          <w:rFonts w:hint="eastAsia" w:ascii="宋体" w:hAnsi="宋体" w:cs="宋体"/>
          <w:bCs/>
        </w:rPr>
        <w:t>3.1</w:t>
      </w:r>
      <w:r>
        <w:rPr>
          <w:rFonts w:hint="eastAsia" w:ascii="宋体" w:hAnsi="宋体" w:cs="宋体"/>
          <w:bCs/>
          <w:spacing w:val="-5"/>
        </w:rPr>
        <w:t>乙方提供全部货物运抵交货地点所需要的包装，以防止货物在转运中损坏或丢失。设备包装要符合铁路公路等包装储运的规定，应适应于远距离运输或多次搬运和装卸，并采取良好的防湿、防潮、防震、防锈、防腐蚀和防野蛮装卸等必要的保护措施。乙方对其的包装所或保护措施不当所造成的设备运输途中的损坏及由此所造成的损失和费用负责。</w:t>
      </w:r>
    </w:p>
    <w:p w14:paraId="07A381F1">
      <w:pPr>
        <w:spacing w:line="520" w:lineRule="exact"/>
        <w:ind w:firstLine="480"/>
        <w:rPr>
          <w:rFonts w:ascii="宋体" w:hAnsi="宋体" w:cs="宋体"/>
          <w:bCs/>
        </w:rPr>
      </w:pPr>
      <w:r>
        <w:rPr>
          <w:rFonts w:hint="eastAsia" w:ascii="宋体" w:hAnsi="宋体" w:cs="宋体"/>
          <w:bCs/>
        </w:rPr>
        <w:t>3.2 包装标记和包件内外随机文件按有关规定和要求办理。</w:t>
      </w:r>
    </w:p>
    <w:p w14:paraId="0DC8D9F4">
      <w:pPr>
        <w:spacing w:line="520" w:lineRule="exact"/>
        <w:ind w:firstLine="482"/>
        <w:rPr>
          <w:rFonts w:ascii="宋体" w:hAnsi="宋体" w:cs="宋体"/>
          <w:b/>
        </w:rPr>
      </w:pPr>
      <w:r>
        <w:rPr>
          <w:rFonts w:hint="eastAsia" w:ascii="宋体" w:hAnsi="宋体" w:cs="宋体"/>
          <w:b/>
        </w:rPr>
        <w:t>4. 交货及安装期</w:t>
      </w:r>
    </w:p>
    <w:p w14:paraId="6410236F">
      <w:pPr>
        <w:spacing w:line="520" w:lineRule="exact"/>
        <w:ind w:firstLine="480"/>
        <w:rPr>
          <w:rFonts w:ascii="宋体" w:hAnsi="宋体" w:cs="宋体"/>
          <w:bCs/>
          <w:u w:val="single"/>
        </w:rPr>
      </w:pPr>
      <w:r>
        <w:rPr>
          <w:rFonts w:hint="eastAsia" w:ascii="宋体" w:hAnsi="宋体" w:cs="宋体"/>
          <w:bCs/>
        </w:rPr>
        <w:t>设备需在年月日前到达甲方指定地点现场交货，按规定时间前安装、调试完毕。</w:t>
      </w:r>
    </w:p>
    <w:p w14:paraId="1DF211CA">
      <w:pPr>
        <w:spacing w:line="520" w:lineRule="exact"/>
        <w:ind w:firstLine="482"/>
        <w:rPr>
          <w:rFonts w:ascii="宋体" w:hAnsi="宋体" w:cs="宋体"/>
          <w:b/>
        </w:rPr>
      </w:pPr>
      <w:r>
        <w:rPr>
          <w:rFonts w:hint="eastAsia" w:ascii="宋体" w:hAnsi="宋体" w:cs="宋体"/>
          <w:b/>
        </w:rPr>
        <w:t>5. 交货、联系人及电话：</w:t>
      </w:r>
    </w:p>
    <w:p w14:paraId="68B72915">
      <w:pPr>
        <w:spacing w:line="520" w:lineRule="exact"/>
        <w:ind w:firstLine="480"/>
        <w:rPr>
          <w:rFonts w:ascii="宋体" w:hAnsi="宋体" w:cs="宋体"/>
          <w:bCs/>
        </w:rPr>
      </w:pPr>
      <w:r>
        <w:rPr>
          <w:rFonts w:hint="eastAsia" w:ascii="宋体" w:hAnsi="宋体" w:cs="宋体"/>
          <w:bCs/>
        </w:rPr>
        <w:t>5.1 交货地点：甲方指定地点。</w:t>
      </w:r>
    </w:p>
    <w:p w14:paraId="02388950">
      <w:pPr>
        <w:spacing w:line="520" w:lineRule="exact"/>
        <w:ind w:firstLine="480"/>
        <w:rPr>
          <w:rFonts w:ascii="宋体" w:hAnsi="宋体" w:cs="宋体"/>
          <w:bCs/>
        </w:rPr>
      </w:pPr>
      <w:r>
        <w:rPr>
          <w:rFonts w:hint="eastAsia" w:ascii="宋体" w:hAnsi="宋体" w:cs="宋体"/>
          <w:bCs/>
        </w:rPr>
        <w:t>5.2为履行本合同，</w:t>
      </w:r>
      <w:bookmarkStart w:id="0" w:name="_Hlk2758720"/>
      <w:r>
        <w:rPr>
          <w:rFonts w:hint="eastAsia" w:ascii="宋体" w:hAnsi="宋体" w:cs="宋体"/>
          <w:bCs/>
        </w:rPr>
        <w:t>甲方指定:</w:t>
      </w:r>
      <w:r>
        <w:rPr>
          <w:rFonts w:hint="eastAsia" w:ascii="宋体" w:hAnsi="宋体" w:cs="宋体"/>
          <w:bCs/>
          <w:u w:val="single"/>
        </w:rPr>
        <w:t xml:space="preserve">         </w:t>
      </w:r>
      <w:r>
        <w:rPr>
          <w:rFonts w:hint="eastAsia" w:ascii="宋体" w:hAnsi="宋体" w:cs="宋体"/>
          <w:bCs/>
        </w:rPr>
        <w:t>,身份证号:</w:t>
      </w:r>
      <w:r>
        <w:rPr>
          <w:rFonts w:hint="eastAsia" w:ascii="宋体" w:hAnsi="宋体" w:cs="宋体"/>
          <w:bCs/>
          <w:u w:val="single"/>
        </w:rPr>
        <w:t xml:space="preserve">          </w:t>
      </w:r>
      <w:r>
        <w:rPr>
          <w:rFonts w:hint="eastAsia" w:ascii="宋体" w:hAnsi="宋体" w:cs="宋体"/>
          <w:bCs/>
        </w:rPr>
        <w:t>为合同联系人，联系电话</w:t>
      </w:r>
      <w:r>
        <w:rPr>
          <w:rFonts w:hint="eastAsia" w:ascii="宋体" w:hAnsi="宋体" w:cs="宋体"/>
          <w:bCs/>
          <w:u w:val="single"/>
        </w:rPr>
        <w:t xml:space="preserve">              </w:t>
      </w:r>
      <w:r>
        <w:rPr>
          <w:rFonts w:hint="eastAsia" w:ascii="宋体" w:hAnsi="宋体" w:cs="宋体"/>
          <w:bCs/>
        </w:rPr>
        <w:t>；</w:t>
      </w:r>
      <w:bookmarkEnd w:id="0"/>
    </w:p>
    <w:p w14:paraId="1CEA0151">
      <w:pPr>
        <w:spacing w:line="520" w:lineRule="exact"/>
        <w:ind w:firstLine="480"/>
        <w:rPr>
          <w:rFonts w:ascii="宋体" w:hAnsi="宋体" w:cs="宋体"/>
          <w:bCs/>
        </w:rPr>
      </w:pPr>
      <w:r>
        <w:rPr>
          <w:rFonts w:hint="eastAsia" w:ascii="宋体" w:hAnsi="宋体" w:cs="宋体"/>
          <w:bCs/>
        </w:rPr>
        <w:t>乙方指定:</w:t>
      </w:r>
      <w:r>
        <w:rPr>
          <w:rFonts w:hint="eastAsia" w:ascii="宋体" w:hAnsi="宋体" w:cs="宋体"/>
          <w:bCs/>
          <w:u w:val="single"/>
        </w:rPr>
        <w:t xml:space="preserve">         </w:t>
      </w:r>
      <w:r>
        <w:rPr>
          <w:rFonts w:hint="eastAsia" w:ascii="宋体" w:hAnsi="宋体" w:cs="宋体"/>
          <w:bCs/>
        </w:rPr>
        <w:t>,身份证号:</w:t>
      </w:r>
      <w:r>
        <w:rPr>
          <w:rFonts w:hint="eastAsia" w:ascii="宋体" w:hAnsi="宋体" w:cs="宋体"/>
          <w:bCs/>
          <w:u w:val="single"/>
        </w:rPr>
        <w:t xml:space="preserve">          </w:t>
      </w:r>
      <w:r>
        <w:rPr>
          <w:rFonts w:hint="eastAsia" w:ascii="宋体" w:hAnsi="宋体" w:cs="宋体"/>
          <w:bCs/>
        </w:rPr>
        <w:t>为合同联系人，联系电话</w:t>
      </w:r>
      <w:r>
        <w:rPr>
          <w:rFonts w:hint="eastAsia" w:ascii="宋体" w:hAnsi="宋体" w:cs="宋体"/>
          <w:bCs/>
          <w:u w:val="single"/>
        </w:rPr>
        <w:t xml:space="preserve">              </w:t>
      </w:r>
      <w:r>
        <w:rPr>
          <w:rFonts w:hint="eastAsia" w:ascii="宋体" w:hAnsi="宋体" w:cs="宋体"/>
          <w:bCs/>
        </w:rPr>
        <w:t>；</w:t>
      </w:r>
    </w:p>
    <w:p w14:paraId="59BCACD4">
      <w:pPr>
        <w:spacing w:line="520" w:lineRule="exact"/>
        <w:ind w:firstLine="480"/>
      </w:pPr>
      <w:r>
        <w:rPr>
          <w:rFonts w:hint="eastAsia" w:ascii="宋体" w:hAnsi="宋体" w:cs="宋体"/>
          <w:bCs/>
        </w:rPr>
        <w:t>5.3卸车：卸车由乙方负责，费用乙方承担。</w:t>
      </w:r>
    </w:p>
    <w:p w14:paraId="154DB93A">
      <w:pPr>
        <w:spacing w:line="520" w:lineRule="exact"/>
        <w:ind w:firstLine="482"/>
        <w:rPr>
          <w:rFonts w:ascii="宋体" w:hAnsi="宋体" w:cs="宋体"/>
          <w:b/>
        </w:rPr>
      </w:pPr>
      <w:r>
        <w:rPr>
          <w:rFonts w:hint="eastAsia" w:ascii="宋体" w:hAnsi="宋体" w:cs="宋体"/>
          <w:b/>
        </w:rPr>
        <w:t>6. 运输</w:t>
      </w:r>
    </w:p>
    <w:p w14:paraId="41C065DD">
      <w:pPr>
        <w:spacing w:line="520" w:lineRule="exact"/>
        <w:ind w:firstLine="480"/>
        <w:rPr>
          <w:rFonts w:ascii="宋体" w:hAnsi="宋体" w:cs="宋体"/>
          <w:bCs/>
        </w:rPr>
      </w:pPr>
      <w:r>
        <w:rPr>
          <w:rFonts w:hint="eastAsia" w:ascii="宋体" w:hAnsi="宋体" w:cs="宋体"/>
          <w:bCs/>
        </w:rPr>
        <w:t>6.1 乙方负责将所供设备直接运输至甲方指定的交货、安装地点，所发生的运杂费已包含在合同价格之中。</w:t>
      </w:r>
    </w:p>
    <w:p w14:paraId="43814041">
      <w:pPr>
        <w:spacing w:line="520" w:lineRule="exact"/>
        <w:ind w:firstLine="480"/>
        <w:rPr>
          <w:rFonts w:ascii="宋体" w:hAnsi="宋体" w:cs="宋体"/>
          <w:bCs/>
        </w:rPr>
      </w:pPr>
      <w:r>
        <w:rPr>
          <w:rFonts w:hint="eastAsia" w:ascii="宋体" w:hAnsi="宋体" w:cs="宋体"/>
          <w:bCs/>
        </w:rPr>
        <w:t>6.2货物运至甲方指定地点,验收合格前所产生的风险，包括货物毁损、灭失、安全事故、侵权、违法等产生的经济及法律责任均由乙方承担。</w:t>
      </w:r>
    </w:p>
    <w:p w14:paraId="6E3FE845">
      <w:pPr>
        <w:spacing w:line="520" w:lineRule="exact"/>
        <w:ind w:firstLine="480"/>
        <w:rPr>
          <w:rFonts w:ascii="宋体" w:hAnsi="宋体" w:cs="宋体"/>
          <w:bCs/>
        </w:rPr>
      </w:pPr>
      <w:r>
        <w:rPr>
          <w:rFonts w:hint="eastAsia" w:ascii="宋体" w:hAnsi="宋体" w:cs="宋体"/>
          <w:bCs/>
        </w:rPr>
        <w:t>6.3 设备到达甲方指定的交货、安装地点后，按第5.3条进行卸货，另一方提供相应的协助。</w:t>
      </w:r>
    </w:p>
    <w:p w14:paraId="33133D6D">
      <w:pPr>
        <w:spacing w:line="520" w:lineRule="exact"/>
        <w:ind w:firstLine="480"/>
        <w:rPr>
          <w:rFonts w:ascii="宋体" w:hAnsi="宋体" w:cs="宋体"/>
          <w:bCs/>
        </w:rPr>
      </w:pPr>
      <w:r>
        <w:rPr>
          <w:rFonts w:hint="eastAsia" w:ascii="宋体" w:hAnsi="宋体" w:cs="宋体"/>
          <w:bCs/>
        </w:rPr>
        <w:t>6.4 乙方应随货提供设备的质量检验和测试的成果资料以及构成设备的主要材料、部件的质量保证书等。</w:t>
      </w:r>
    </w:p>
    <w:p w14:paraId="7FA9B374">
      <w:pPr>
        <w:spacing w:line="520" w:lineRule="exact"/>
        <w:ind w:firstLine="480"/>
        <w:rPr>
          <w:rFonts w:ascii="宋体" w:hAnsi="宋体" w:cs="宋体"/>
          <w:bCs/>
        </w:rPr>
      </w:pPr>
      <w:r>
        <w:rPr>
          <w:rFonts w:hint="eastAsia" w:ascii="宋体" w:hAnsi="宋体" w:cs="宋体"/>
          <w:bCs/>
        </w:rPr>
        <w:t>6.5 每台设备的随机备件、随机工具、技术资料随主机一起交货。</w:t>
      </w:r>
    </w:p>
    <w:p w14:paraId="38D4D223">
      <w:pPr>
        <w:spacing w:line="520" w:lineRule="exact"/>
        <w:ind w:firstLine="482"/>
        <w:rPr>
          <w:rFonts w:ascii="宋体" w:hAnsi="宋体" w:cs="宋体"/>
          <w:b/>
        </w:rPr>
      </w:pPr>
      <w:r>
        <w:rPr>
          <w:rFonts w:hint="eastAsia" w:ascii="宋体" w:hAnsi="宋体" w:cs="宋体"/>
          <w:b/>
        </w:rPr>
        <w:t>7. 监造及验收</w:t>
      </w:r>
    </w:p>
    <w:p w14:paraId="79BA1FD9">
      <w:pPr>
        <w:spacing w:line="520" w:lineRule="exact"/>
        <w:ind w:firstLine="480"/>
        <w:rPr>
          <w:rFonts w:ascii="宋体" w:hAnsi="宋体" w:cs="宋体"/>
          <w:bCs/>
        </w:rPr>
      </w:pPr>
      <w:bookmarkStart w:id="1" w:name="OLE_LINK1"/>
      <w:r>
        <w:rPr>
          <w:rFonts w:hint="eastAsia" w:ascii="宋体" w:hAnsi="宋体" w:cs="宋体"/>
          <w:bCs/>
        </w:rPr>
        <w:t>7.1 乙方派工作人员赴甲方指定交货安装地点，负责拼装、调试、试验，进行验收、交接，其中关键性试验需有甲方相关人员参加。</w:t>
      </w:r>
    </w:p>
    <w:p w14:paraId="73F5F52F">
      <w:pPr>
        <w:spacing w:line="520" w:lineRule="exact"/>
        <w:ind w:firstLine="480"/>
        <w:rPr>
          <w:rFonts w:ascii="宋体" w:hAnsi="宋体" w:cs="宋体"/>
          <w:bCs/>
        </w:rPr>
      </w:pPr>
      <w:r>
        <w:rPr>
          <w:rFonts w:hint="eastAsia" w:ascii="宋体" w:hAnsi="宋体" w:cs="宋体"/>
          <w:bCs/>
        </w:rPr>
        <w:t>7.2甲乙双方进行实物及信息化工程验收，技术参数、设备配置、随机备件及工具、资料与本合同和发货单规格、型号、数量一致，且无破损，双方认可签字后视为实物验收合格。物流方单据签收由乙方自行签认，不作为验收依据。</w:t>
      </w:r>
    </w:p>
    <w:p w14:paraId="41C07266">
      <w:pPr>
        <w:spacing w:line="520" w:lineRule="exact"/>
        <w:ind w:firstLine="480"/>
        <w:rPr>
          <w:rFonts w:ascii="宋体" w:hAnsi="宋体" w:cs="宋体"/>
          <w:bCs/>
        </w:rPr>
      </w:pPr>
      <w:r>
        <w:rPr>
          <w:rFonts w:hint="eastAsia" w:ascii="宋体" w:hAnsi="宋体" w:cs="宋体"/>
          <w:bCs/>
        </w:rPr>
        <w:t>7.3 设备经调试正常运行、各项试验满足相关规范要求，双方签署技术性能验收报告单即视为技术性能验收合格。</w:t>
      </w:r>
    </w:p>
    <w:p w14:paraId="573A846A">
      <w:pPr>
        <w:spacing w:line="520" w:lineRule="exact"/>
        <w:ind w:firstLine="480"/>
        <w:rPr>
          <w:rFonts w:ascii="宋体" w:hAnsi="宋体" w:cs="宋体"/>
          <w:bCs/>
        </w:rPr>
      </w:pPr>
      <w:r>
        <w:rPr>
          <w:rFonts w:hint="eastAsia" w:ascii="宋体" w:hAnsi="宋体" w:cs="宋体"/>
          <w:bCs/>
        </w:rPr>
        <w:t>7.4 最终验收合格，一般设备实物验收、技术性能验收合格，视为最终验收合格；</w:t>
      </w:r>
    </w:p>
    <w:p w14:paraId="220F4424">
      <w:pPr>
        <w:spacing w:line="520" w:lineRule="exact"/>
        <w:ind w:firstLine="480"/>
        <w:rPr>
          <w:rFonts w:hint="eastAsia" w:ascii="宋体" w:hAnsi="宋体" w:cs="宋体"/>
          <w:bCs/>
        </w:rPr>
      </w:pPr>
      <w:r>
        <w:rPr>
          <w:rFonts w:hint="eastAsia" w:ascii="宋体" w:hAnsi="宋体" w:cs="宋体"/>
          <w:bCs/>
        </w:rPr>
        <w:t>7.5 如设备及配件与本合同和发货单不符合，或设备不符合规格和标准的要求，甲方将拒绝接收，乙方应将被拒绝设备及配件予以替换或作必要的更改，并承担由此所发生的所有费用；如经替换或作必要的更改后，设备仍不能满足规格和标准的要求，甲方有权退货,乙方承担由此发生的所有费用和对甲方造成的一切损失。甲方亦有权解除合同，且甲方不因此而承担任何违约责任。</w:t>
      </w:r>
    </w:p>
    <w:p w14:paraId="7B8DE2ED">
      <w:pPr>
        <w:spacing w:line="520" w:lineRule="exact"/>
        <w:ind w:firstLine="480"/>
        <w:rPr>
          <w:rFonts w:hint="eastAsia" w:ascii="宋体" w:hAnsi="宋体" w:cs="宋体"/>
          <w:bCs/>
        </w:rPr>
      </w:pPr>
      <w:r>
        <w:rPr>
          <w:rFonts w:hint="eastAsia" w:ascii="宋体" w:hAnsi="宋体" w:cs="宋体"/>
          <w:bCs/>
        </w:rPr>
        <w:t>7.6甲方组织专家、监理及相关单位成立验收组，依据合同、需求规格说明书及国家相关标准，对项目的功能、性能、文档、培训及数据迁移等进行全面测试与审查，形成书面验收报告；对发现的问题要求承建方限期整改并复核，最终所有参与方一致确认通过后，签署正式验收合格证书，由建设阶段转入保修运维阶段。</w:t>
      </w:r>
    </w:p>
    <w:p w14:paraId="48F121AA">
      <w:pPr>
        <w:spacing w:line="520" w:lineRule="exact"/>
        <w:ind w:firstLine="480"/>
        <w:rPr>
          <w:rFonts w:ascii="宋体" w:hAnsi="宋体" w:cs="宋体"/>
          <w:bCs/>
        </w:rPr>
      </w:pPr>
      <w:r>
        <w:rPr>
          <w:rFonts w:hint="eastAsia" w:ascii="宋体" w:hAnsi="宋体" w:cs="宋体"/>
          <w:bCs/>
        </w:rPr>
        <w:t>7.6甲方的验收不免除乙方应承担的保修或其他责任。</w:t>
      </w:r>
    </w:p>
    <w:bookmarkEnd w:id="1"/>
    <w:p w14:paraId="287CEC79">
      <w:pPr>
        <w:spacing w:line="520" w:lineRule="exact"/>
        <w:ind w:firstLine="482"/>
        <w:rPr>
          <w:rFonts w:ascii="宋体" w:hAnsi="宋体" w:cs="宋体"/>
          <w:b/>
        </w:rPr>
      </w:pPr>
      <w:r>
        <w:rPr>
          <w:rFonts w:hint="eastAsia" w:ascii="宋体" w:hAnsi="宋体" w:cs="宋体"/>
          <w:b/>
        </w:rPr>
        <w:t>8. 结算方式及期限</w:t>
      </w:r>
    </w:p>
    <w:p w14:paraId="47CA6BAF">
      <w:pPr>
        <w:spacing w:line="520" w:lineRule="exact"/>
        <w:ind w:firstLine="480"/>
        <w:rPr>
          <w:rFonts w:ascii="宋体" w:hAnsi="宋体" w:cs="宋体"/>
          <w:bCs/>
        </w:rPr>
      </w:pPr>
      <w:r>
        <w:rPr>
          <w:rFonts w:hint="eastAsia" w:ascii="宋体" w:hAnsi="宋体" w:cs="宋体"/>
          <w:bCs/>
        </w:rPr>
        <w:t xml:space="preserve">8.1乙方指定收款账号: </w:t>
      </w:r>
    </w:p>
    <w:p w14:paraId="68579221">
      <w:pPr>
        <w:spacing w:line="520" w:lineRule="exact"/>
        <w:ind w:firstLine="480"/>
        <w:rPr>
          <w:rFonts w:ascii="宋体" w:hAnsi="宋体" w:cs="宋体"/>
          <w:bCs/>
          <w:u w:val="single"/>
        </w:rPr>
      </w:pPr>
      <w:r>
        <w:rPr>
          <w:rFonts w:hint="eastAsia" w:ascii="宋体" w:hAnsi="宋体" w:cs="宋体"/>
          <w:bCs/>
        </w:rPr>
        <w:t>开户单位：</w:t>
      </w:r>
    </w:p>
    <w:p w14:paraId="57AA2339">
      <w:pPr>
        <w:spacing w:line="520" w:lineRule="exact"/>
        <w:ind w:firstLine="480"/>
        <w:rPr>
          <w:rFonts w:ascii="宋体" w:hAnsi="宋体" w:cs="宋体"/>
          <w:bCs/>
        </w:rPr>
      </w:pPr>
      <w:r>
        <w:rPr>
          <w:rFonts w:hint="eastAsia" w:ascii="宋体" w:hAnsi="宋体" w:cs="宋体"/>
          <w:bCs/>
        </w:rPr>
        <w:t>开户名称：</w:t>
      </w:r>
    </w:p>
    <w:p w14:paraId="09D53357">
      <w:pPr>
        <w:spacing w:line="520" w:lineRule="exact"/>
        <w:ind w:firstLine="480"/>
        <w:rPr>
          <w:rFonts w:ascii="宋体" w:hAnsi="宋体" w:cs="宋体"/>
          <w:bCs/>
          <w:u w:val="single"/>
        </w:rPr>
      </w:pPr>
      <w:r>
        <w:rPr>
          <w:rFonts w:hint="eastAsia" w:ascii="宋体" w:hAnsi="宋体" w:cs="宋体"/>
          <w:bCs/>
        </w:rPr>
        <w:t>帐    号：</w:t>
      </w:r>
    </w:p>
    <w:p w14:paraId="2211472F">
      <w:pPr>
        <w:spacing w:line="520" w:lineRule="exact"/>
        <w:ind w:firstLine="480"/>
        <w:rPr>
          <w:rFonts w:ascii="宋体" w:hAnsi="宋体" w:cs="宋体"/>
          <w:bCs/>
        </w:rPr>
      </w:pPr>
      <w:r>
        <w:rPr>
          <w:rFonts w:hint="eastAsia" w:ascii="宋体" w:hAnsi="宋体" w:cs="宋体"/>
          <w:bCs/>
        </w:rPr>
        <w:t>地    址：</w:t>
      </w:r>
    </w:p>
    <w:p w14:paraId="365861DF">
      <w:pPr>
        <w:spacing w:line="520" w:lineRule="exact"/>
        <w:ind w:firstLine="480"/>
        <w:rPr>
          <w:rFonts w:ascii="宋体" w:hAnsi="宋体" w:cs="宋体"/>
          <w:bCs/>
        </w:rPr>
      </w:pPr>
      <w:r>
        <w:rPr>
          <w:rFonts w:hint="eastAsia" w:ascii="宋体" w:hAnsi="宋体" w:cs="宋体"/>
          <w:bCs/>
        </w:rPr>
        <w:t>电    话：</w:t>
      </w:r>
    </w:p>
    <w:p w14:paraId="7A2D4720">
      <w:pPr>
        <w:spacing w:line="520" w:lineRule="exact"/>
        <w:ind w:firstLine="480"/>
        <w:rPr>
          <w:rFonts w:ascii="宋体" w:hAnsi="宋体" w:cs="宋体"/>
          <w:bCs/>
        </w:rPr>
      </w:pPr>
      <w:r>
        <w:rPr>
          <w:rFonts w:hint="eastAsia" w:ascii="宋体" w:hAnsi="宋体" w:cs="宋体"/>
          <w:bCs/>
        </w:rPr>
        <w:t>8.</w:t>
      </w:r>
      <w:r>
        <w:rPr>
          <w:rFonts w:hint="eastAsia" w:ascii="宋体" w:hAnsi="宋体" w:cs="宋体"/>
          <w:bCs/>
          <w:lang w:val="en-US" w:eastAsia="zh-CN"/>
        </w:rPr>
        <w:t>2</w:t>
      </w:r>
      <w:r>
        <w:rPr>
          <w:rFonts w:hint="eastAsia" w:ascii="宋体" w:hAnsi="宋体" w:cs="宋体"/>
          <w:bCs/>
        </w:rPr>
        <w:t>验收合格30日内付款 ，达到付款条件起 30 日内，支付合同总金额的</w:t>
      </w:r>
      <w:bookmarkStart w:id="2" w:name="_GoBack"/>
      <w:r>
        <w:rPr>
          <w:rFonts w:hint="eastAsia" w:ascii="宋体" w:hAnsi="宋体" w:cs="宋体"/>
          <w:bCs/>
        </w:rPr>
        <w:t xml:space="preserve"> 100</w:t>
      </w:r>
      <w:bookmarkEnd w:id="2"/>
      <w:r>
        <w:rPr>
          <w:rFonts w:hint="eastAsia" w:ascii="宋体" w:hAnsi="宋体" w:cs="宋体"/>
          <w:bCs/>
        </w:rPr>
        <w:t>.00%。乙方给甲方出具正式发票。</w:t>
      </w:r>
    </w:p>
    <w:p w14:paraId="4F366EB4">
      <w:pPr>
        <w:spacing w:line="520" w:lineRule="exact"/>
        <w:ind w:firstLine="482"/>
        <w:rPr>
          <w:rFonts w:ascii="宋体" w:hAnsi="宋体" w:cs="宋体"/>
          <w:b/>
        </w:rPr>
      </w:pPr>
      <w:r>
        <w:rPr>
          <w:rFonts w:hint="eastAsia" w:ascii="宋体" w:hAnsi="宋体" w:cs="宋体"/>
          <w:b/>
        </w:rPr>
        <w:t>9. 质量标准及质量保证</w:t>
      </w:r>
    </w:p>
    <w:p w14:paraId="1C6DD161">
      <w:pPr>
        <w:spacing w:line="520" w:lineRule="exact"/>
        <w:ind w:firstLine="480"/>
        <w:rPr>
          <w:rFonts w:ascii="宋体" w:hAnsi="宋体" w:cs="宋体"/>
          <w:bCs/>
        </w:rPr>
      </w:pPr>
      <w:r>
        <w:rPr>
          <w:rFonts w:hint="eastAsia" w:ascii="宋体" w:hAnsi="宋体" w:cs="宋体"/>
          <w:bCs/>
        </w:rPr>
        <w:t>9.1 质量标准：乙方或制造商在制造过程中应严格进行质量控制，制订合理工艺，选用合格材料和性能安全可靠的外购设备，国家相关法规有明确规定的外购零部件，必须由具有相应资质的专业生产单位提供；环境要求必须遵守《环境管理体系要求及使用指南》（GB/T 24001）规范标准。</w:t>
      </w:r>
    </w:p>
    <w:p w14:paraId="2C9BB656">
      <w:pPr>
        <w:spacing w:line="520" w:lineRule="exact"/>
        <w:ind w:firstLine="480"/>
        <w:rPr>
          <w:rFonts w:ascii="宋体" w:hAnsi="宋体" w:cs="宋体"/>
          <w:bCs/>
        </w:rPr>
      </w:pPr>
      <w:r>
        <w:rPr>
          <w:rFonts w:hint="eastAsia" w:ascii="宋体" w:hAnsi="宋体" w:cs="宋体"/>
          <w:bCs/>
        </w:rPr>
        <w:t>9.2 质量保证：设备整机质量质保期为最终验收合格后个12月。在质保期内，凡由于设备设计、制造或材质等非甲方原因造成故障，乙方负责修理或更换零部件，费用由乙方承担；超过质保期后，乙方对设备实行终身服务。</w:t>
      </w:r>
    </w:p>
    <w:p w14:paraId="15695314">
      <w:pPr>
        <w:spacing w:line="520" w:lineRule="exact"/>
        <w:ind w:firstLine="482"/>
        <w:rPr>
          <w:rFonts w:ascii="宋体" w:hAnsi="宋体" w:cs="宋体"/>
          <w:b/>
        </w:rPr>
      </w:pPr>
      <w:r>
        <w:rPr>
          <w:rFonts w:hint="eastAsia" w:ascii="宋体" w:hAnsi="宋体" w:cs="宋体"/>
          <w:b/>
        </w:rPr>
        <w:t>10. 技术服务、技术资料</w:t>
      </w:r>
    </w:p>
    <w:p w14:paraId="6BEDEDC7">
      <w:pPr>
        <w:pStyle w:val="12"/>
        <w:spacing w:line="520" w:lineRule="exact"/>
        <w:ind w:firstLine="560"/>
        <w:rPr>
          <w:rFonts w:ascii="宋体" w:hAnsi="宋体" w:cs="宋体"/>
          <w:bCs/>
        </w:rPr>
      </w:pPr>
      <w:r>
        <w:rPr>
          <w:rFonts w:hint="eastAsia" w:ascii="宋体" w:hAnsi="宋体" w:cs="宋体"/>
          <w:bCs/>
        </w:rPr>
        <w:t>10.1 乙方对甲方相关人员提供免费技术培训，培训时间交货后1月内完成培训；培训内容包括设备安装、调试、操作、维护保养、故障处理等。</w:t>
      </w:r>
    </w:p>
    <w:p w14:paraId="5C753387">
      <w:pPr>
        <w:pStyle w:val="12"/>
        <w:spacing w:line="520" w:lineRule="exact"/>
        <w:ind w:firstLine="560"/>
        <w:rPr>
          <w:rFonts w:ascii="宋体" w:hAnsi="宋体" w:cs="宋体"/>
          <w:bCs/>
        </w:rPr>
      </w:pPr>
      <w:r>
        <w:rPr>
          <w:rFonts w:hint="eastAsia" w:ascii="宋体" w:hAnsi="宋体" w:cs="宋体"/>
          <w:bCs/>
        </w:rPr>
        <w:t>10.2 在质保期内，如设备出现故障或其他原因影响正常使用，乙方须在</w:t>
      </w:r>
      <w:r>
        <w:rPr>
          <w:rFonts w:hint="eastAsia" w:ascii="宋体" w:hAnsi="宋体" w:cs="宋体"/>
          <w:bCs/>
          <w:u w:val="single"/>
        </w:rPr>
        <w:t>24</w:t>
      </w:r>
      <w:r>
        <w:rPr>
          <w:rFonts w:hint="eastAsia" w:ascii="宋体" w:hAnsi="宋体" w:cs="宋体"/>
          <w:bCs/>
        </w:rPr>
        <w:t>小时内无条件调派维修人员赶赴现场进行维修等服务，产生的一切费用由乙方承担。保修期满后，乙方接到甲方维修通知后</w:t>
      </w:r>
      <w:r>
        <w:rPr>
          <w:rFonts w:hint="eastAsia" w:ascii="宋体" w:hAnsi="宋体" w:cs="宋体"/>
          <w:bCs/>
          <w:u w:val="single"/>
        </w:rPr>
        <w:t xml:space="preserve"> 2 </w:t>
      </w:r>
      <w:r>
        <w:rPr>
          <w:rFonts w:hint="eastAsia" w:ascii="宋体" w:hAnsi="宋体" w:cs="宋体"/>
          <w:bCs/>
        </w:rPr>
        <w:t>天内派维修人员赶赴甲方现场进行维修等服务，费用甲方承担。</w:t>
      </w:r>
    </w:p>
    <w:p w14:paraId="77B5C011">
      <w:pPr>
        <w:pStyle w:val="12"/>
        <w:spacing w:line="520" w:lineRule="exact"/>
        <w:ind w:firstLine="560"/>
        <w:rPr>
          <w:rFonts w:ascii="宋体" w:hAnsi="宋体" w:cs="宋体"/>
          <w:bCs/>
        </w:rPr>
      </w:pPr>
      <w:r>
        <w:rPr>
          <w:rFonts w:hint="eastAsia" w:ascii="宋体" w:hAnsi="宋体" w:cs="宋体"/>
          <w:bCs/>
        </w:rPr>
        <w:t>10.3 每台设备乙方需提供设备说明书原件、总装图、零件目录原件、设备出厂合格证原件、电气原理图、及其他厂方应提供的随机技术资料。</w:t>
      </w:r>
    </w:p>
    <w:p w14:paraId="744C0615">
      <w:pPr>
        <w:tabs>
          <w:tab w:val="left" w:pos="5110"/>
        </w:tabs>
        <w:spacing w:line="520" w:lineRule="exact"/>
        <w:ind w:firstLine="482"/>
        <w:rPr>
          <w:rFonts w:ascii="宋体" w:hAnsi="宋体" w:cs="宋体"/>
          <w:bCs/>
        </w:rPr>
      </w:pPr>
      <w:r>
        <w:rPr>
          <w:rFonts w:hint="eastAsia" w:ascii="宋体" w:hAnsi="宋体" w:cs="宋体"/>
          <w:b/>
        </w:rPr>
        <w:t>11. 违约责任</w:t>
      </w:r>
      <w:r>
        <w:rPr>
          <w:rFonts w:hint="eastAsia" w:ascii="宋体" w:hAnsi="宋体" w:cs="宋体"/>
          <w:bCs/>
        </w:rPr>
        <w:tab/>
      </w:r>
    </w:p>
    <w:p w14:paraId="50717AF5">
      <w:pPr>
        <w:spacing w:line="520" w:lineRule="exact"/>
        <w:ind w:firstLine="480"/>
        <w:rPr>
          <w:rFonts w:ascii="宋体" w:hAnsi="宋体" w:cs="宋体"/>
        </w:rPr>
      </w:pPr>
      <w:r>
        <w:rPr>
          <w:rFonts w:hint="eastAsia" w:ascii="宋体" w:hAnsi="宋体" w:cs="宋体"/>
        </w:rPr>
        <w:t>11.1如乙方未能在合同规定的时间内交付全部设备，或由于乙方的设备、配件、质量及售后服务等方面原因影响安装调试时间，导致设备在合同约定时间内仍无法达到正常使用要求的，按每误期一天扣减合同总价的</w:t>
      </w:r>
      <w:r>
        <w:rPr>
          <w:rFonts w:hint="eastAsia" w:ascii="宋体" w:hAnsi="宋体" w:cs="宋体"/>
          <w:u w:val="single"/>
        </w:rPr>
        <w:t xml:space="preserve"> 2 %</w:t>
      </w:r>
      <w:r>
        <w:rPr>
          <w:rFonts w:hint="eastAsia" w:ascii="宋体" w:hAnsi="宋体" w:cs="宋体"/>
        </w:rPr>
        <w:t>的标准核计，累计扣减金额最多不超过合同总价的</w:t>
      </w:r>
      <w:r>
        <w:rPr>
          <w:rFonts w:hint="eastAsia" w:ascii="宋体" w:hAnsi="宋体" w:cs="宋体"/>
          <w:u w:val="single"/>
        </w:rPr>
        <w:t xml:space="preserve"> 10 % </w:t>
      </w:r>
      <w:r>
        <w:rPr>
          <w:rFonts w:hint="eastAsia" w:ascii="宋体" w:hAnsi="宋体" w:cs="宋体"/>
        </w:rPr>
        <w:t>。一旦误期损失赔偿达到了合同价的</w:t>
      </w:r>
      <w:r>
        <w:rPr>
          <w:rFonts w:hint="eastAsia" w:ascii="宋体" w:hAnsi="宋体" w:cs="宋体"/>
          <w:u w:val="single"/>
        </w:rPr>
        <w:t xml:space="preserve"> 10 %</w:t>
      </w:r>
      <w:r>
        <w:rPr>
          <w:rFonts w:hint="eastAsia" w:ascii="宋体" w:hAnsi="宋体" w:cs="宋体"/>
        </w:rPr>
        <w:t>，甲方则有权解除合同，由此给甲方造成的一切损失由乙方赔偿。</w:t>
      </w:r>
    </w:p>
    <w:p w14:paraId="721FB6DC">
      <w:pPr>
        <w:spacing w:line="520" w:lineRule="exact"/>
        <w:ind w:firstLine="480"/>
        <w:rPr>
          <w:rFonts w:ascii="宋体" w:hAnsi="宋体" w:cs="宋体"/>
        </w:rPr>
      </w:pPr>
      <w:r>
        <w:rPr>
          <w:rFonts w:hint="eastAsia" w:ascii="宋体" w:hAnsi="宋体" w:cs="宋体"/>
        </w:rPr>
        <w:t>11.2 本设备的主要技术性能指标达不到技术设计要求，致使本设备无法投入使用，甲方有权退货，乙方应按照合同总价的</w:t>
      </w:r>
      <w:r>
        <w:rPr>
          <w:rFonts w:hint="eastAsia" w:ascii="宋体" w:hAnsi="宋体" w:cs="宋体"/>
          <w:u w:val="single"/>
        </w:rPr>
        <w:t xml:space="preserve"> 10 % </w:t>
      </w:r>
      <w:r>
        <w:rPr>
          <w:rFonts w:hint="eastAsia" w:ascii="宋体" w:hAnsi="宋体" w:cs="宋体"/>
        </w:rPr>
        <w:t>支付甲方违约金，并承担由此造成的损失。</w:t>
      </w:r>
    </w:p>
    <w:p w14:paraId="0B702673">
      <w:pPr>
        <w:spacing w:line="520" w:lineRule="exact"/>
        <w:ind w:firstLine="480"/>
        <w:rPr>
          <w:rFonts w:ascii="宋体" w:hAnsi="宋体" w:cs="宋体"/>
        </w:rPr>
      </w:pPr>
      <w:r>
        <w:rPr>
          <w:rFonts w:hint="eastAsia" w:ascii="宋体" w:hAnsi="宋体" w:cs="宋体"/>
        </w:rPr>
        <w:t>11.3 本设备的主要技术性能指标达不到技术设计要求，影响正常使用的,乙方应按本合同10.2条约定派人维修，经两次维修后仍影响正常使用的,甲方有权退货,乙方应按照合同总价的</w:t>
      </w:r>
      <w:r>
        <w:rPr>
          <w:rFonts w:hint="eastAsia" w:ascii="宋体" w:hAnsi="宋体" w:cs="宋体"/>
          <w:u w:val="single"/>
        </w:rPr>
        <w:t xml:space="preserve"> 10 % </w:t>
      </w:r>
      <w:r>
        <w:rPr>
          <w:rFonts w:hint="eastAsia" w:ascii="宋体" w:hAnsi="宋体" w:cs="宋体"/>
        </w:rPr>
        <w:t>支付甲方违约金，并承担由此造成的损失。</w:t>
      </w:r>
    </w:p>
    <w:p w14:paraId="1AC4EC1A">
      <w:pPr>
        <w:spacing w:line="520" w:lineRule="exact"/>
        <w:ind w:firstLine="480"/>
        <w:rPr>
          <w:rFonts w:ascii="宋体" w:hAnsi="宋体" w:cs="宋体"/>
        </w:rPr>
      </w:pPr>
      <w:r>
        <w:rPr>
          <w:rFonts w:hint="eastAsia" w:ascii="宋体" w:hAnsi="宋体" w:cs="宋体"/>
        </w:rPr>
        <w:t>11.4在质保期内，乙方未按甲方要求在</w:t>
      </w:r>
      <w:r>
        <w:rPr>
          <w:rFonts w:hint="eastAsia" w:ascii="宋体" w:hAnsi="宋体" w:cs="宋体"/>
          <w:u w:val="single"/>
        </w:rPr>
        <w:t xml:space="preserve"> 24  </w:t>
      </w:r>
      <w:r>
        <w:rPr>
          <w:rFonts w:hint="eastAsia" w:ascii="宋体" w:hAnsi="宋体" w:cs="宋体"/>
        </w:rPr>
        <w:t>小时内调派维修人员赶赴甲方现场进行维修，或在合理期限内无法修复的，甲方有权找第三方进行维修，由此产生的费用和损失由乙方承担。</w:t>
      </w:r>
    </w:p>
    <w:p w14:paraId="32362BFA">
      <w:pPr>
        <w:spacing w:line="520" w:lineRule="exact"/>
        <w:ind w:firstLine="480"/>
        <w:rPr>
          <w:rFonts w:ascii="宋体" w:hAnsi="宋体" w:cs="宋体"/>
        </w:rPr>
      </w:pPr>
      <w:r>
        <w:rPr>
          <w:rFonts w:hint="eastAsia" w:ascii="宋体" w:hAnsi="宋体" w:cs="宋体"/>
        </w:rPr>
        <w:t>11.5 乙方不得将本合同义务全部或部分转让，包括不得转包与分包，否则甲方有权退货,乙方应按照合同总价的</w:t>
      </w:r>
      <w:r>
        <w:rPr>
          <w:rFonts w:hint="eastAsia" w:ascii="宋体" w:hAnsi="宋体" w:cs="宋体"/>
          <w:u w:val="words"/>
        </w:rPr>
        <w:t xml:space="preserve"> 10% </w:t>
      </w:r>
      <w:r>
        <w:rPr>
          <w:rFonts w:hint="eastAsia" w:ascii="宋体" w:hAnsi="宋体" w:cs="宋体"/>
        </w:rPr>
        <w:t>支付甲方违约金，并承担由此造成的一切损失。</w:t>
      </w:r>
    </w:p>
    <w:p w14:paraId="24E6F805">
      <w:pPr>
        <w:spacing w:line="520" w:lineRule="exact"/>
        <w:ind w:firstLine="480"/>
        <w:rPr>
          <w:rFonts w:ascii="宋体" w:hAnsi="宋体" w:cs="宋体"/>
        </w:rPr>
      </w:pPr>
      <w:r>
        <w:rPr>
          <w:rFonts w:hint="eastAsia" w:ascii="宋体" w:hAnsi="宋体" w:cs="宋体"/>
        </w:rPr>
        <w:t>11.6乙方未按合同约定向甲方提供真实、有效、合格的增值税专用发票（包含税务机关代开），并未按实际提供应税货物情况，准确填写发票项目的，视为乙方违约，甲方有权拒付相应货款。</w:t>
      </w:r>
    </w:p>
    <w:p w14:paraId="508E0CDB">
      <w:pPr>
        <w:spacing w:line="520" w:lineRule="exact"/>
        <w:ind w:firstLine="480"/>
        <w:rPr>
          <w:rFonts w:ascii="宋体" w:hAnsi="宋体" w:cs="宋体"/>
        </w:rPr>
      </w:pPr>
      <w:r>
        <w:rPr>
          <w:rFonts w:hint="eastAsia" w:ascii="宋体" w:hAnsi="宋体" w:cs="宋体"/>
        </w:rPr>
        <w:t>11.7乙方其他违约责任：</w:t>
      </w:r>
      <w:r>
        <w:rPr>
          <w:rFonts w:hint="eastAsia" w:ascii="宋体" w:hAnsi="宋体" w:cs="宋体"/>
          <w:u w:val="words"/>
        </w:rPr>
        <w:t xml:space="preserve"> 双方协商</w:t>
      </w:r>
      <w:r>
        <w:rPr>
          <w:rFonts w:hint="eastAsia" w:ascii="宋体" w:hAnsi="宋体" w:cs="宋体"/>
        </w:rPr>
        <w:t>。</w:t>
      </w:r>
    </w:p>
    <w:p w14:paraId="22B7AF2E">
      <w:pPr>
        <w:spacing w:line="520" w:lineRule="exact"/>
        <w:ind w:firstLine="482"/>
        <w:rPr>
          <w:b/>
          <w:bCs/>
          <w:lang w:val="zh-CN"/>
        </w:rPr>
      </w:pPr>
      <w:r>
        <w:rPr>
          <w:rFonts w:hint="eastAsia"/>
          <w:b/>
          <w:bCs/>
        </w:rPr>
        <w:t xml:space="preserve">12. </w:t>
      </w:r>
      <w:r>
        <w:rPr>
          <w:rFonts w:hint="eastAsia"/>
          <w:b/>
          <w:bCs/>
          <w:lang w:val="zh-CN"/>
        </w:rPr>
        <w:t>争议解决</w:t>
      </w:r>
    </w:p>
    <w:p w14:paraId="26868868">
      <w:pPr>
        <w:spacing w:line="520" w:lineRule="exact"/>
        <w:ind w:firstLine="480"/>
        <w:rPr>
          <w:rFonts w:ascii="宋体" w:hAnsi="宋体" w:cs="宋体"/>
          <w:bCs/>
        </w:rPr>
      </w:pPr>
      <w:r>
        <w:rPr>
          <w:rFonts w:hint="eastAsia" w:ascii="宋体" w:hAnsi="宋体" w:cs="宋体"/>
          <w:bCs/>
        </w:rPr>
        <w:t>甲乙双方因本合同发生争议的，应协商解决。协商不成的，交由甲方所在地人民法院诉讼解决。</w:t>
      </w:r>
    </w:p>
    <w:p w14:paraId="69A912EA">
      <w:pPr>
        <w:spacing w:line="520" w:lineRule="exact"/>
        <w:ind w:firstLine="482"/>
        <w:rPr>
          <w:rFonts w:ascii="宋体" w:hAnsi="宋体" w:cs="宋体"/>
          <w:b/>
        </w:rPr>
      </w:pPr>
      <w:r>
        <w:rPr>
          <w:rFonts w:hint="eastAsia" w:ascii="宋体" w:hAnsi="宋体" w:cs="宋体"/>
          <w:b/>
        </w:rPr>
        <w:t>13.其它</w:t>
      </w:r>
    </w:p>
    <w:p w14:paraId="1061BD4D">
      <w:pPr>
        <w:spacing w:line="520" w:lineRule="exact"/>
        <w:ind w:firstLine="480"/>
        <w:rPr>
          <w:rFonts w:ascii="宋体" w:hAnsi="宋体" w:cs="宋体"/>
          <w:bCs/>
        </w:rPr>
      </w:pPr>
      <w:r>
        <w:rPr>
          <w:rFonts w:hint="eastAsia" w:ascii="宋体" w:hAnsi="宋体" w:cs="宋体"/>
          <w:bCs/>
        </w:rPr>
        <w:t>13.1 本合同项下的债权不得转让，也不得用于担保。</w:t>
      </w:r>
    </w:p>
    <w:p w14:paraId="7F3D8901">
      <w:pPr>
        <w:spacing w:line="520" w:lineRule="exact"/>
        <w:ind w:firstLine="480"/>
        <w:rPr>
          <w:rFonts w:ascii="宋体" w:hAnsi="宋体" w:cs="宋体"/>
          <w:bCs/>
        </w:rPr>
      </w:pPr>
      <w:r>
        <w:rPr>
          <w:rFonts w:hint="eastAsia" w:ascii="宋体" w:hAnsi="宋体" w:cs="宋体"/>
          <w:bCs/>
        </w:rPr>
        <w:t>13.2  在涉及到设备质量问题的退货行为时,如果退货行为涉及到开具红字增值税专用发票的行为,乙方应当履行相关协助义务。</w:t>
      </w:r>
    </w:p>
    <w:p w14:paraId="71C7AAAA">
      <w:pPr>
        <w:spacing w:line="520" w:lineRule="exact"/>
        <w:ind w:firstLine="480"/>
        <w:rPr>
          <w:rFonts w:ascii="宋体" w:hAnsi="宋体" w:cs="宋体"/>
          <w:bCs/>
        </w:rPr>
      </w:pPr>
      <w:r>
        <w:rPr>
          <w:rFonts w:hint="eastAsia" w:ascii="宋体" w:hAnsi="宋体" w:cs="宋体"/>
          <w:bCs/>
        </w:rPr>
        <w:t>13.3  在本合同履行过程中，如任何一方发生税务登记、公司名称等重大信息的变更事项，应在重大信息变更后的15日内书面通知对方变更情况，并提供相关信息资料。</w:t>
      </w:r>
    </w:p>
    <w:p w14:paraId="0C4615F9">
      <w:pPr>
        <w:spacing w:line="520" w:lineRule="exact"/>
        <w:ind w:firstLine="480"/>
        <w:rPr>
          <w:rFonts w:ascii="宋体" w:hAnsi="宋体" w:cs="宋体"/>
          <w:bCs/>
        </w:rPr>
      </w:pPr>
      <w:r>
        <w:rPr>
          <w:rFonts w:hint="eastAsia" w:ascii="宋体" w:hAnsi="宋体" w:cs="宋体"/>
          <w:bCs/>
        </w:rPr>
        <w:t>13.4 双方确定双方所预留的以下地址为双方送达通知等文件的有效地址，任一方按照该地址向对方送达的通知、纪要等文件均为有效送达。任一方变更送达地址必须在变更地址之日起三日内向对方书面通知，否则不发生送达地址变更的法律效力，对方按原地址送达仍然为有效送达。</w:t>
      </w:r>
    </w:p>
    <w:p w14:paraId="4B99F6CE">
      <w:pPr>
        <w:spacing w:line="520" w:lineRule="exact"/>
        <w:ind w:firstLine="480"/>
        <w:rPr>
          <w:rFonts w:ascii="宋体" w:hAnsi="宋体" w:cs="宋体"/>
          <w:bCs/>
        </w:rPr>
      </w:pPr>
      <w:r>
        <w:rPr>
          <w:rFonts w:hint="eastAsia" w:ascii="宋体" w:hAnsi="宋体" w:cs="宋体"/>
          <w:bCs/>
        </w:rPr>
        <w:t>甲方送达地址：</w:t>
      </w:r>
    </w:p>
    <w:p w14:paraId="11A18640">
      <w:pPr>
        <w:spacing w:line="520" w:lineRule="exact"/>
        <w:ind w:firstLine="480"/>
        <w:rPr>
          <w:rFonts w:ascii="宋体" w:hAnsi="宋体" w:cs="宋体"/>
          <w:bCs/>
        </w:rPr>
      </w:pPr>
      <w:r>
        <w:rPr>
          <w:rFonts w:hint="eastAsia" w:ascii="宋体" w:hAnsi="宋体" w:cs="宋体"/>
          <w:bCs/>
        </w:rPr>
        <w:t>乙方送达地址：</w:t>
      </w:r>
    </w:p>
    <w:p w14:paraId="402EFC23">
      <w:pPr>
        <w:spacing w:line="520" w:lineRule="exact"/>
        <w:ind w:firstLine="480"/>
        <w:rPr>
          <w:rFonts w:ascii="宋体" w:hAnsi="宋体" w:cs="宋体"/>
          <w:bCs/>
        </w:rPr>
      </w:pPr>
      <w:r>
        <w:rPr>
          <w:rFonts w:hint="eastAsia" w:ascii="宋体" w:hAnsi="宋体" w:cs="宋体"/>
          <w:bCs/>
        </w:rPr>
        <w:t>13.5 本合同及附件、乙方递交的投标书及承诺书等都是合同不可分割的部分，与本合同有同等法律效力。</w:t>
      </w:r>
    </w:p>
    <w:p w14:paraId="0CF9BFA8">
      <w:pPr>
        <w:spacing w:line="520" w:lineRule="exact"/>
        <w:ind w:firstLine="480"/>
        <w:rPr>
          <w:rFonts w:ascii="宋体" w:hAnsi="宋体" w:cs="宋体"/>
          <w:bCs/>
        </w:rPr>
      </w:pPr>
      <w:r>
        <w:rPr>
          <w:rFonts w:hint="eastAsia" w:ascii="宋体" w:hAnsi="宋体" w:cs="宋体"/>
          <w:bCs/>
        </w:rPr>
        <w:t>13.6 本合同如有未尽事宜，须经双方共同协商后签订补充协议。</w:t>
      </w:r>
    </w:p>
    <w:p w14:paraId="6C99989F">
      <w:pPr>
        <w:spacing w:line="520" w:lineRule="exact"/>
        <w:ind w:firstLine="480"/>
        <w:rPr>
          <w:rFonts w:ascii="宋体" w:hAnsi="宋体" w:cs="宋体"/>
          <w:bCs/>
        </w:rPr>
      </w:pPr>
      <w:r>
        <w:rPr>
          <w:rFonts w:hint="eastAsia" w:ascii="宋体" w:hAnsi="宋体" w:cs="宋体"/>
          <w:bCs/>
        </w:rPr>
        <w:t>13.7 本合同自双方签字盖章之日起生效，本合同一式</w:t>
      </w:r>
      <w:r>
        <w:rPr>
          <w:rFonts w:hint="eastAsia" w:ascii="宋体" w:hAnsi="宋体" w:cs="宋体"/>
          <w:bCs/>
          <w:u w:val="single"/>
        </w:rPr>
        <w:t>五</w:t>
      </w:r>
      <w:r>
        <w:rPr>
          <w:rFonts w:hint="eastAsia" w:ascii="宋体" w:hAnsi="宋体" w:cs="宋体"/>
          <w:bCs/>
        </w:rPr>
        <w:t>，甲方执</w:t>
      </w:r>
      <w:r>
        <w:rPr>
          <w:rFonts w:hint="eastAsia" w:ascii="宋体" w:hAnsi="宋体" w:cs="宋体"/>
          <w:bCs/>
          <w:u w:val="single"/>
        </w:rPr>
        <w:t>三</w:t>
      </w:r>
      <w:r>
        <w:rPr>
          <w:rFonts w:hint="eastAsia" w:ascii="宋体" w:hAnsi="宋体" w:cs="宋体"/>
          <w:bCs/>
        </w:rPr>
        <w:t>份，乙方执</w:t>
      </w:r>
      <w:r>
        <w:rPr>
          <w:rFonts w:hint="eastAsia" w:ascii="宋体" w:hAnsi="宋体" w:cs="宋体"/>
          <w:bCs/>
          <w:u w:val="single"/>
        </w:rPr>
        <w:t>二</w:t>
      </w:r>
      <w:r>
        <w:rPr>
          <w:rFonts w:hint="eastAsia" w:ascii="宋体" w:hAnsi="宋体" w:cs="宋体"/>
          <w:bCs/>
        </w:rPr>
        <w:t>份。</w:t>
      </w:r>
    </w:p>
    <w:p w14:paraId="299E89D9">
      <w:pPr>
        <w:spacing w:line="520" w:lineRule="exact"/>
        <w:ind w:firstLine="658" w:firstLineChars="235"/>
        <w:rPr>
          <w:rFonts w:ascii="宋体" w:hAnsi="宋体" w:cs="宋体"/>
          <w:bCs/>
        </w:rPr>
      </w:pPr>
      <w:r>
        <w:rPr>
          <w:rFonts w:hint="eastAsia" w:ascii="宋体" w:hAnsi="宋体" w:cs="宋体"/>
          <w:bCs/>
        </w:rPr>
        <w:t>（正文完）</w:t>
      </w:r>
    </w:p>
    <w:p w14:paraId="581F04D9">
      <w:pPr>
        <w:pStyle w:val="5"/>
        <w:ind w:left="560" w:firstLine="480"/>
        <w:rPr>
          <w:rFonts w:ascii="宋体" w:hAnsi="宋体" w:cs="宋体"/>
          <w:bCs/>
          <w:sz w:val="24"/>
          <w:szCs w:val="24"/>
        </w:rPr>
      </w:pPr>
    </w:p>
    <w:p w14:paraId="6012CCA3">
      <w:pPr>
        <w:widowControl/>
        <w:tabs>
          <w:tab w:val="left" w:pos="8364"/>
        </w:tabs>
        <w:ind w:firstLine="480"/>
        <w:rPr>
          <w:rFonts w:ascii="宋体" w:hAnsi="宋体" w:cs="宋体"/>
          <w:bCs/>
        </w:rPr>
      </w:pPr>
      <w:r>
        <w:rPr>
          <w:rFonts w:hint="eastAsia" w:ascii="宋体" w:hAnsi="宋体" w:cs="宋体"/>
          <w:bCs/>
        </w:rPr>
        <w:t xml:space="preserve">甲方：（公章）                          乙方：（公章）  </w:t>
      </w:r>
    </w:p>
    <w:p w14:paraId="0D38D03B">
      <w:pPr>
        <w:ind w:left="6580" w:leftChars="200" w:hanging="6020" w:hangingChars="2150"/>
        <w:rPr>
          <w:rFonts w:ascii="宋体" w:hAnsi="宋体" w:cs="宋体"/>
          <w:bCs/>
        </w:rPr>
      </w:pPr>
      <w:r>
        <w:rPr>
          <w:rFonts w:hint="eastAsia" w:ascii="宋体" w:hAnsi="宋体" w:cs="宋体"/>
          <w:bCs/>
        </w:rPr>
        <w:t xml:space="preserve">住所：                                  住所： </w:t>
      </w:r>
    </w:p>
    <w:p w14:paraId="0C171F33">
      <w:pPr>
        <w:ind w:firstLine="480"/>
        <w:rPr>
          <w:rFonts w:ascii="宋体" w:hAnsi="宋体" w:cs="宋体"/>
          <w:bCs/>
        </w:rPr>
      </w:pPr>
      <w:r>
        <w:rPr>
          <w:rFonts w:hint="eastAsia" w:ascii="宋体" w:hAnsi="宋体" w:cs="宋体"/>
          <w:bCs/>
        </w:rPr>
        <w:t xml:space="preserve">法定代表人：                            法定代表人： </w:t>
      </w:r>
    </w:p>
    <w:p w14:paraId="3D50B7E0">
      <w:pPr>
        <w:ind w:firstLine="480"/>
        <w:rPr>
          <w:rFonts w:ascii="宋体" w:hAnsi="宋体" w:cs="宋体"/>
          <w:bCs/>
        </w:rPr>
      </w:pPr>
      <w:r>
        <w:rPr>
          <w:rFonts w:hint="eastAsia" w:ascii="宋体" w:hAnsi="宋体" w:cs="宋体"/>
          <w:bCs/>
        </w:rPr>
        <w:t xml:space="preserve">委托代理人：                            委托代理人： </w:t>
      </w:r>
    </w:p>
    <w:p w14:paraId="2F22C442">
      <w:pPr>
        <w:ind w:firstLine="480"/>
        <w:rPr>
          <w:rFonts w:ascii="宋体" w:hAnsi="宋体" w:cs="宋体"/>
          <w:bCs/>
        </w:rPr>
      </w:pPr>
      <w:r>
        <w:rPr>
          <w:rFonts w:hint="eastAsia" w:ascii="宋体" w:hAnsi="宋体" w:cs="宋体"/>
          <w:bCs/>
        </w:rPr>
        <w:t>电话：                                  电话：</w:t>
      </w:r>
    </w:p>
    <w:p w14:paraId="36ADC718">
      <w:pPr>
        <w:ind w:firstLine="480"/>
        <w:rPr>
          <w:rFonts w:ascii="宋体" w:hAnsi="宋体" w:cs="宋体"/>
          <w:bCs/>
        </w:rPr>
      </w:pPr>
      <w:r>
        <w:rPr>
          <w:rFonts w:hint="eastAsia" w:ascii="宋体" w:hAnsi="宋体" w:cs="宋体"/>
          <w:bCs/>
        </w:rPr>
        <w:t xml:space="preserve">开户银行：                              开户银行： </w:t>
      </w:r>
    </w:p>
    <w:p w14:paraId="007910CD">
      <w:pPr>
        <w:tabs>
          <w:tab w:val="left" w:pos="900"/>
        </w:tabs>
        <w:ind w:firstLine="480"/>
        <w:rPr>
          <w:rFonts w:ascii="宋体" w:hAnsi="宋体" w:cs="宋体"/>
          <w:bCs/>
        </w:rPr>
      </w:pPr>
      <w:r>
        <w:rPr>
          <w:rFonts w:hint="eastAsia" w:ascii="宋体" w:hAnsi="宋体" w:cs="宋体"/>
          <w:bCs/>
        </w:rPr>
        <w:t>账号：                                  账号：</w:t>
      </w:r>
    </w:p>
    <w:p w14:paraId="450436AB">
      <w:pPr>
        <w:tabs>
          <w:tab w:val="left" w:pos="1700"/>
        </w:tabs>
        <w:ind w:firstLine="480"/>
        <w:rPr>
          <w:rFonts w:ascii="宋体" w:hAnsi="宋体" w:cs="宋体"/>
          <w:bCs/>
        </w:rPr>
      </w:pPr>
    </w:p>
    <w:p w14:paraId="27EACAC2">
      <w:pPr>
        <w:tabs>
          <w:tab w:val="left" w:pos="1700"/>
        </w:tabs>
        <w:ind w:firstLine="480"/>
        <w:rPr>
          <w:rFonts w:ascii="宋体" w:hAnsi="宋体" w:cs="宋体"/>
          <w:bCs/>
        </w:rPr>
      </w:pPr>
      <w:r>
        <w:rPr>
          <w:rFonts w:hint="eastAsia" w:ascii="宋体" w:hAnsi="宋体" w:cs="宋体"/>
          <w:bCs/>
        </w:rPr>
        <w:t xml:space="preserve">日期：___年__月__日              </w:t>
      </w:r>
    </w:p>
    <w:p w14:paraId="2292CF5C">
      <w:pPr>
        <w:pStyle w:val="5"/>
        <w:ind w:left="0" w:leftChars="0" w:firstLine="0" w:firstLineChars="0"/>
        <w:rPr>
          <w:rFonts w:ascii="宋体" w:hAnsi="宋体" w:cs="宋体"/>
          <w:b/>
          <w:sz w:val="24"/>
          <w:szCs w:val="24"/>
        </w:rPr>
      </w:pPr>
    </w:p>
    <w:p w14:paraId="11799E10">
      <w:pPr>
        <w:pStyle w:val="5"/>
        <w:ind w:left="0" w:leftChars="0" w:firstLine="0" w:firstLineChars="0"/>
        <w:rPr>
          <w:rFonts w:ascii="宋体" w:hAnsi="宋体" w:cs="宋体"/>
          <w:b/>
          <w:sz w:val="24"/>
          <w:szCs w:val="24"/>
        </w:rPr>
      </w:pPr>
    </w:p>
    <w:p w14:paraId="7607B6C8">
      <w:pPr>
        <w:pStyle w:val="5"/>
        <w:ind w:left="0" w:leftChars="0" w:firstLine="0" w:firstLineChars="0"/>
        <w:rPr>
          <w:rFonts w:ascii="宋体" w:hAnsi="宋体" w:cs="宋体"/>
          <w:b/>
          <w:sz w:val="24"/>
          <w:szCs w:val="24"/>
        </w:rPr>
      </w:pPr>
      <w:r>
        <w:rPr>
          <w:rFonts w:hint="eastAsia" w:ascii="宋体" w:hAnsi="宋体" w:cs="宋体"/>
          <w:b/>
          <w:sz w:val="24"/>
          <w:szCs w:val="24"/>
        </w:rPr>
        <w:t>附件1：设备及服务配置清单:</w:t>
      </w:r>
    </w:p>
    <w:p w14:paraId="48E13E90">
      <w:pPr>
        <w:pStyle w:val="5"/>
        <w:ind w:left="0" w:leftChars="0" w:firstLine="0" w:firstLineChars="0"/>
        <w:rPr>
          <w:rFonts w:ascii="宋体" w:hAnsi="宋体" w:cs="宋体"/>
          <w:b/>
          <w:sz w:val="24"/>
          <w:szCs w:val="24"/>
        </w:rPr>
      </w:pPr>
      <w:r>
        <w:rPr>
          <w:rFonts w:hint="eastAsia" w:ascii="宋体" w:hAnsi="宋体" w:cs="宋体"/>
          <w:b/>
          <w:sz w:val="24"/>
          <w:szCs w:val="24"/>
        </w:rPr>
        <w:t>附件2：设备及服务资料清单</w:t>
      </w:r>
    </w:p>
    <w:p w14:paraId="171C94EB">
      <w:pPr>
        <w:rPr>
          <w:rFonts w:ascii="宋体" w:hAnsi="宋体" w:cs="宋体"/>
          <w:b/>
        </w:rPr>
      </w:pPr>
    </w:p>
    <w:p w14:paraId="167F3B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Malgun Gothic"/>
    <w:panose1 w:val="00000000000000000000"/>
    <w:charset w:val="00"/>
    <w:family w:val="swiss"/>
    <w:pitch w:val="default"/>
    <w:sig w:usb0="00000000" w:usb1="00000000" w:usb2="00000000" w:usb3="00000000" w:csb0="20000001"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E2DCB5"/>
    <w:multiLevelType w:val="singleLevel"/>
    <w:tmpl w:val="D6E2DCB5"/>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A7580"/>
    <w:rsid w:val="000A7580"/>
    <w:rsid w:val="001A03FA"/>
    <w:rsid w:val="0051319F"/>
    <w:rsid w:val="006C1BE7"/>
    <w:rsid w:val="00735AC0"/>
    <w:rsid w:val="00783842"/>
    <w:rsid w:val="00B12F8C"/>
    <w:rsid w:val="36C74819"/>
    <w:rsid w:val="68B54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kern w:val="0"/>
      <w:sz w:val="28"/>
      <w:szCs w:val="28"/>
      <w:lang w:val="en-US" w:eastAsia="zh-CN" w:bidi="ar-SA"/>
    </w:rPr>
  </w:style>
  <w:style w:type="character" w:default="1" w:styleId="7">
    <w:name w:val="Default Paragraph Font"/>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semiHidden/>
    <w:unhideWhenUsed/>
    <w:qFormat/>
    <w:uiPriority w:val="99"/>
    <w:pPr>
      <w:spacing w:after="120"/>
      <w:ind w:left="420" w:leftChars="200"/>
    </w:pPr>
  </w:style>
  <w:style w:type="paragraph" w:styleId="3">
    <w:name w:val="footer"/>
    <w:basedOn w:val="1"/>
    <w:link w:val="9"/>
    <w:semiHidden/>
    <w:unhideWhenUsed/>
    <w:qFormat/>
    <w:uiPriority w:val="99"/>
    <w:pPr>
      <w:tabs>
        <w:tab w:val="center" w:pos="4153"/>
        <w:tab w:val="right" w:pos="8306"/>
      </w:tabs>
      <w:snapToGrid w:val="0"/>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link w:val="11"/>
    <w:semiHidden/>
    <w:unhideWhenUsed/>
    <w:qFormat/>
    <w:uiPriority w:val="99"/>
    <w:pPr>
      <w:ind w:firstLine="420" w:firstLineChars="200"/>
    </w:p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uiPriority w:val="99"/>
    <w:rPr>
      <w:sz w:val="18"/>
      <w:szCs w:val="18"/>
    </w:rPr>
  </w:style>
  <w:style w:type="character" w:customStyle="1" w:styleId="10">
    <w:name w:val="正文文本缩进 Char"/>
    <w:basedOn w:val="7"/>
    <w:link w:val="2"/>
    <w:semiHidden/>
    <w:qFormat/>
    <w:uiPriority w:val="99"/>
    <w:rPr>
      <w:rFonts w:ascii="Copperplate Gothic Bold" w:hAnsi="Copperplate Gothic Bold" w:eastAsia="宋体" w:cs="Times New Roman"/>
      <w:kern w:val="0"/>
      <w:sz w:val="28"/>
      <w:szCs w:val="28"/>
    </w:rPr>
  </w:style>
  <w:style w:type="character" w:customStyle="1" w:styleId="11">
    <w:name w:val="正文首行缩进 2 Char"/>
    <w:basedOn w:val="10"/>
    <w:link w:val="5"/>
    <w:semiHidden/>
    <w:qFormat/>
    <w:uiPriority w:val="99"/>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3228</Words>
  <Characters>3383</Characters>
  <Lines>28</Lines>
  <Paragraphs>7</Paragraphs>
  <TotalTime>36</TotalTime>
  <ScaleCrop>false</ScaleCrop>
  <LinksUpToDate>false</LinksUpToDate>
  <CharactersWithSpaces>3853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2025-09-03T08:02:00Z</dcterms:created>
  <dc:creator>微软用户</dc:creator>
  <cp:lastModifiedBy>重度拖延症</cp:lastModifiedBy>
  <dcterms:modified xsi:type="dcterms:W3CDTF">2025-10-12T02:30:34Z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eyJoZGlkIjoiNjU5MDEwZjdhMDRkMDg2N2NkNWE4NmE1YmJhZGQzNjkiLCJ1c2VySWQiOiI1MjU0MjgyNTAifQ==</vt:lpwstr>
  </property>
  <property fmtid="{D5CDD505-2E9C-101B-9397-08002B2CF9AE}" pid="3" name="KSOProductBuildVer">
    <vt:lpwstr>2052-12.1.0.22529</vt:lpwstr>
  </property>
  <property fmtid="{D5CDD505-2E9C-101B-9397-08002B2CF9AE}" pid="4" name="ICV">
    <vt:lpwstr>2404052B13AC437BB4449DFDAC9A8F44_12</vt:lpwstr>
  </property>
</Properties>
</file>