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版本号：SXSL－2025－5320251122001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2025年桥隧检测设备购置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SXSL－2025－53</w:t>
      </w:r>
      <w:r>
        <w:br/>
      </w:r>
      <w:r>
        <w:br/>
      </w:r>
      <w:r>
        <w:br/>
      </w:r>
    </w:p>
    <w:p>
      <w:pPr>
        <w:pStyle w:val="null3"/>
        <w:jc w:val="center"/>
        <w:outlineLvl w:val="2"/>
      </w:pPr>
      <w:r>
        <w:rPr>
          <w:rFonts w:ascii="仿宋_GB2312" w:hAnsi="仿宋_GB2312" w:cs="仿宋_GB2312" w:eastAsia="仿宋_GB2312"/>
          <w:sz w:val="28"/>
          <w:b/>
        </w:rPr>
        <w:t>商洛市公路局</w:t>
      </w:r>
    </w:p>
    <w:p>
      <w:pPr>
        <w:pStyle w:val="null3"/>
        <w:jc w:val="center"/>
        <w:outlineLvl w:val="2"/>
      </w:pPr>
      <w:r>
        <w:rPr>
          <w:rFonts w:ascii="仿宋_GB2312" w:hAnsi="仿宋_GB2312" w:cs="仿宋_GB2312" w:eastAsia="仿宋_GB2312"/>
          <w:sz w:val="28"/>
          <w:b/>
        </w:rPr>
        <w:t>陕西上洛管理咨询有限公司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陕西上洛管理咨询有限公司</w:t>
      </w:r>
      <w:r>
        <w:rPr>
          <w:rFonts w:ascii="仿宋_GB2312" w:hAnsi="仿宋_GB2312" w:cs="仿宋_GB2312" w:eastAsia="仿宋_GB2312"/>
        </w:rPr>
        <w:t>（以下简称“代理机构”）受</w:t>
      </w:r>
      <w:r>
        <w:rPr>
          <w:rFonts w:ascii="仿宋_GB2312" w:hAnsi="仿宋_GB2312" w:cs="仿宋_GB2312" w:eastAsia="仿宋_GB2312"/>
        </w:rPr>
        <w:t>商洛市公路局</w:t>
      </w:r>
      <w:r>
        <w:rPr>
          <w:rFonts w:ascii="仿宋_GB2312" w:hAnsi="仿宋_GB2312" w:cs="仿宋_GB2312" w:eastAsia="仿宋_GB2312"/>
        </w:rPr>
        <w:t>委托，拟对</w:t>
      </w:r>
      <w:r>
        <w:rPr>
          <w:rFonts w:ascii="仿宋_GB2312" w:hAnsi="仿宋_GB2312" w:cs="仿宋_GB2312" w:eastAsia="仿宋_GB2312"/>
        </w:rPr>
        <w:t>2025年桥隧检测设备购置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SXSL－2025－53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2025年桥隧检测设备购置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本次采购桥梁检测车1辆：桁架式、水平作业范围不小于18米；高空作业车1辆：折叠臂式，最大作业高度不小于18米。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1、特殊资格要求：车型需列入工业和信息化部《道路机动车辆生 产企业及产品公告》目录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商州区名人街20号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冀先生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18809149900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陕西上洛管理咨询有限公司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商洛市商州区黄沙桥交投公司6楼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杨万青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15229547755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代理服务费收费标准：1.以项目中标金额作为收费的计算基数，中标金额不足100万元按100万 元计取。2.招标代理费计算依据：参考计价格【2002】1980号规定计算并在领取中标通知书 前由中标人支付。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商洛市公路局</w:t>
      </w:r>
      <w:r>
        <w:rPr>
          <w:rFonts w:ascii="仿宋_GB2312" w:hAnsi="仿宋_GB2312" w:cs="仿宋_GB2312" w:eastAsia="仿宋_GB2312"/>
        </w:rPr>
        <w:t>和</w:t>
      </w:r>
      <w:r>
        <w:rPr>
          <w:rFonts w:ascii="仿宋_GB2312" w:hAnsi="仿宋_GB2312" w:cs="仿宋_GB2312" w:eastAsia="仿宋_GB2312"/>
        </w:rPr>
        <w:t>陕西上洛管理咨询有限公司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陕西上洛管理咨询有限公司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陕西上洛管理咨询有限公司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依据合同及技术协议约定，对交付成果的完整性、符合性、功能性能达标情况及商务条款履行情况进行全面核查，以确认承建方是否全面履行约定义务。</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联系人：杨万青</w:t>
      </w:r>
    </w:p>
    <w:p>
      <w:pPr>
        <w:pStyle w:val="null3"/>
      </w:pPr>
      <w:r>
        <w:rPr>
          <w:rFonts w:ascii="仿宋_GB2312" w:hAnsi="仿宋_GB2312" w:cs="仿宋_GB2312" w:eastAsia="仿宋_GB2312"/>
        </w:rPr>
        <w:t>联系电话：15229547755</w:t>
      </w:r>
    </w:p>
    <w:p>
      <w:pPr>
        <w:pStyle w:val="null3"/>
      </w:pPr>
      <w:r>
        <w:rPr>
          <w:rFonts w:ascii="仿宋_GB2312" w:hAnsi="仿宋_GB2312" w:cs="仿宋_GB2312" w:eastAsia="仿宋_GB2312"/>
        </w:rPr>
        <w:t>地址：陕西省商洛市商州区黄沙桥交投公司六楼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桥梁检测车：桁架式、水平作业范围不小于18米；高空作业车：折叠臂式，最大作业高度不小于18米。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1,740,000.00</w:t>
      </w:r>
    </w:p>
    <w:p>
      <w:pPr>
        <w:pStyle w:val="null3"/>
      </w:pPr>
      <w:r>
        <w:rPr>
          <w:rFonts w:ascii="仿宋_GB2312" w:hAnsi="仿宋_GB2312" w:cs="仿宋_GB2312" w:eastAsia="仿宋_GB2312"/>
        </w:rPr>
        <w:t>采购包最高限价（元）: 1,740,000.00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8"/>
                <w:color w:val="000000"/>
              </w:rPr>
              <w:t>1、桥梁检测车，技术参数：作业平台结构形式为桁架式；工作平台桥下最大水平作业幅度 ≥20m；工作平台桥下最大垂直作业深度≥7.8m；跨越护栏高度 ≥4.2m；跨越人行道距离 ≥3.0m；作业平台均布载荷 ≥800kg；作业平台全伸远端荷载 ≥400kg；桥上第一回转转动范围 0°-90°，桥下第二回转转动范围0°-180°；配置工作状态下自行走装置，最少配备两个行走马达；行走支撑轮在工作时不得超出车体（提供实物工作下照片）；垂直升降臂必须采用双油缸机构（提供实物工作下照片）；工作平台第一节必须采用钢结构；底盘： 6×4双后桥驱动；发动机功率 ：≥ 225kw；排放标准：国六排放标准；最大总质量：≤26000kg；整车公告尺寸：≤12800*2600*4000mm。（提供公告查询截图）；车身颜色：工程黄。须提供国家工信部的《车辆公告》文件、《车辆购置税免征公告》文件。</w:t>
            </w:r>
          </w:p>
          <w:p>
            <w:pPr>
              <w:pStyle w:val="null3"/>
              <w:spacing w:before="105" w:after="105"/>
              <w:jc w:val="both"/>
            </w:pPr>
            <w:r>
              <w:rPr>
                <w:rFonts w:ascii="仿宋_GB2312" w:hAnsi="仿宋_GB2312" w:cs="仿宋_GB2312" w:eastAsia="仿宋_GB2312"/>
                <w:sz w:val="28"/>
              </w:rPr>
              <w:t>2、高空作业车，技术参数：最大作业高度≥18m；最大作业幅度≥9.3m；工作斗额定载荷≥200KG；转台回转角度：双向360度连续回转；支腿横向跨距：≤2625、3480mm（前、后），支腿纵向跨距：≤3945、4120mm（左、右）；作业平台围栏尺寸≥1150×650×1150mm；臂架结构形式：三节折叠臂；调平系统：内置组合式自动调平系统；在遥控盒和平台处可对发动机进行远程点火、熄火控制；高空作业车采用全包支腿，油缸缸杆不外露，在工作时如有外物滚落，不会伤及支腿油缸，起到保护作用。(提供支腿外形图片)；上下车互锁：当在操作工作臂时锁住下车支腿操作，防止误操作导致意外发生；油缸止回缩装置：防止工作臂、工作斗自动下落，保证动作平稳；应急泵：配置应急泵，当动力系统出现故障后，可以手动完成车辆臂架、支腿回收到位；整车外型尺寸≥</w:t>
            </w:r>
            <w:r>
              <w:rPr>
                <w:rFonts w:ascii="仿宋_GB2312" w:hAnsi="仿宋_GB2312" w:cs="仿宋_GB2312" w:eastAsia="仿宋_GB2312"/>
                <w:sz w:val="28"/>
                <w:shd w:fill="FFFFFF" w:val="clear"/>
              </w:rPr>
              <w:t>8080*2000*3050</w:t>
            </w:r>
            <w:r>
              <w:rPr>
                <w:rFonts w:ascii="仿宋_GB2312" w:hAnsi="仿宋_GB2312" w:cs="仿宋_GB2312" w:eastAsia="仿宋_GB2312"/>
                <w:sz w:val="28"/>
              </w:rPr>
              <w:t>mm；前悬/后悬≥1015/2475mm，最大总质量≥6460Kg，整备质量≥6135Kg。后防护离地高度≥470mm，接近/离去角≥19/11，发动机功率≥88KW ，国Ⅵ排放；附带起重功能，起重机最大起重量≥2000kg；车身颜色：工程黄。须提供国家工信部的《车辆公告》文件、《车辆购置税免征公告》文件。</w:t>
            </w:r>
          </w:p>
          <w:p>
            <w:pPr>
              <w:pStyle w:val="null3"/>
              <w:spacing w:before="105" w:after="105"/>
              <w:jc w:val="both"/>
            </w:pPr>
            <w:r>
              <w:rPr>
                <w:rFonts w:ascii="仿宋_GB2312" w:hAnsi="仿宋_GB2312" w:cs="仿宋_GB2312" w:eastAsia="仿宋_GB2312"/>
              </w:rPr>
              <w:t xml:space="preserve"> </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验收合格后乙方给甲方出具正式发票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质保期结束后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乙方派工作人员赴甲方指定交货安装地点，负责拼装、调试、试验，进行验收、交接，其中关键性试验需有甲方相关人员参加。 甲乙双方进行实物验收，设备配置、随机备件及工具、资料与本合同和发货单规格、型号、数量一致，且无破损，双方认可签字后视为实物验收合格。物流方单据签收由乙方自行签认，不作为验收依据。 设备经调试正常运行、各项试验满足相关规范要求，双方签署技术性能验收报告单即视为技术性能验收合格。 最终验收合格，一般设备实物验收、技术性能验收合格，视为最终验收合格； 如设备及配件与本合同和发货单不符合，或设备不符合规格和标准的要求，甲方将拒绝接收，乙方应将被拒绝设备及配件予以替换或作必要的更改，并承担由此所发生的所有费用；如经替换或作必要的更改后，设备仍不能满足规格和标准的要求，甲方有权退货,乙方承担由此发生的所有费用和对甲方造成的一切损失。甲方亦有权解除合同，且甲方不因此而承担任何违约责任。 甲方的验收不免除乙方应承担的保修或其他责任。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设备整机质量质保期为最终验收合格后个12月。在质保期内，凡由于设备设计、制造或材质等非甲方原因造成故障，乙方负责修理或更换零部件，费用由乙方承担；超过质保期后，乙方对设备实行终身服务。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如乙方未能在合同规定的时间内交付全部设备，或由于乙方的设备、配件、质量及售后服务等方面原因影响安装调试时间，导致设备在合同约定时间内仍无法达到正常使用要求的，按每误期一天扣减合同总价的 2 %的标准核计，累计扣减金额最多不超过合同总价的 10 % 。一旦误期损失赔偿达到了合同价的 10 %，甲方则有权解除合同，由此给甲方造成的一切损失由乙方赔偿。 本设备的主要技术性能指标达不到技术设计要求，致使本设备无法投入使用，甲方有权退货，乙方应按照合同总价的 10 % 支付甲方违约金，并承担由此造成的损失。 本设备的主要技术性能指标达不到技术设计要求，影响正常使用的,乙方应按本合同10.2条约定派人维修，经两次维修后仍影响正常使用的,甲方有权退货,乙方应按照合同总价的 10 % 支付甲方违约金，并承担由此造成的损失。 在质保期内，乙方未按甲方要求在 24 小时内调派维修人员赶赴甲方现场进行维修，或在合理期限内无法修复的，甲方有权找第三方进行维修，由此产生的费用和损失由乙方承担。 乙方不得将本合同义务全部或部分转让，包括不得转包与分包，否则甲方有权退货,乙方应按照合同总价的 10% 支付甲方违约金，并承担由此造成的一切损失。 乙方未按合同约定向甲方提供真实、有效、合格的增值税专用发票（包含税务机关代开），并未按实际提供应税货物情况，准确填写发票项目的，视为乙方违约，甲方有权拒付相应货款。 乙方其他违约责任： 双方协商。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供应商应在标的清单中，将各设备单独分列报价。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车型需列入工业和信息化部《道路机动车辆生 产企业及产品公告》目录</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初步审查</w:t>
            </w:r>
          </w:p>
        </w:tc>
        <w:tc>
          <w:tcPr>
            <w:tcW w:type="dxa" w:w="3322"/>
          </w:tcPr>
          <w:p>
            <w:pPr>
              <w:pStyle w:val="null3"/>
            </w:pPr>
            <w:r>
              <w:rPr>
                <w:rFonts w:ascii="仿宋_GB2312" w:hAnsi="仿宋_GB2312" w:cs="仿宋_GB2312" w:eastAsia="仿宋_GB2312"/>
              </w:rPr>
              <w:t>依据招标文件规定，从招标文件的有效性、完整性和对响应文件的响应程度进行审查。出现下列情况之一者，不得进入最终评审环节：（1）供应商的投标报价超过采购预 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招标文件中规定的其他实质性要求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供货方案编制内容综合评定</w:t>
            </w:r>
          </w:p>
        </w:tc>
        <w:tc>
          <w:tcPr>
            <w:tcW w:type="dxa" w:w="2492"/>
          </w:tcPr>
          <w:p>
            <w:pPr>
              <w:pStyle w:val="null3"/>
            </w:pPr>
            <w:r>
              <w:rPr>
                <w:rFonts w:ascii="仿宋_GB2312" w:hAnsi="仿宋_GB2312" w:cs="仿宋_GB2312" w:eastAsia="仿宋_GB2312"/>
              </w:rPr>
              <w:t>根据采购要求和响应情况进行综合评定： 方案内容完整，全面覆盖了：工作思路与项目认识、产品调试组织措施及方案、产品质量保证措施、供货计划。且方案质量卓越，具备以下特征：1. 针对性与理解深度：对项目背景、需求、难点有深入、独到的分析，工作思路清晰体现了对本项目的充分理解和精准把握。2. 先进性与可行性：提出的技术方法、调试措施、质保方案不仅先进、完善，而且有详尽的实施步骤和资源安排，可行性极高。3. 计划周密性：供货计划详尽、科学，关键节点明确，充分考虑各种风险并制定了应对预案。得17-20分。 方案内容完整，覆盖了全部四项基本内容（工作思路与项目认识、产品调试组织措施及方案、产品质量保证措施、供货计划）。且方案质量良好，具备以下特征：1. 针对性：能结合本项目情况进行描述，工作思路和认识符合项目要求。2. 可行性：调试措施、质保方案、供货计划具体、可行，能够支持项目的顺利完成。3. 逻辑性：方案结构清晰，各项内容之间逻辑连贯得13-16分。 方案内容基本完整，但可能有一项内容（如工作思路或供货计划）较为简略。方案质量满足基本要求：1. 对项目有基本的认知，工作思路、技术方法和计划安排无明显错误。2. 各项措施虽然常规、缺乏亮点，但基本可行。得9-12分。 出现以下情况之一：1. 方案缺失超过一项关键内容。2. 方案内容严重空洞、泛泛而谈，大量使用模板化语言，无法体现对本项目的具体考量。3. 方案中存在明显错误或不可行的技术方法、计划安排。得5-8分。 方案内容缺失极其严重（如只包含一两项且描述极简），或方案完全脱离本项目需求，明显为套用。或未提供本方案。得0-4分。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能承诺免费培训，并提供培训计划、培训大纲，针对本项目的应用场景、技术特点和管理流程进行了专项分析，并提出了针对性的培训模块，方案详细说明了培训方法、培训周期、每阶段的培训时长、师资安排，并提供了保障措施，得9-10分； 能承诺免费培训，并提供培训计划、培训大纲，方案能结合本项目需求进行描述，但针对性分析不够深入，定制化内容较少；方案说明了培训方法、周期和师资，但描述较为常规，缺乏详细的保障措施，得6-8分； 提供了培训方案，但内容严重缺失、空洞，完全无法体现如何完成本项目培训，方案与本项目关联性极弱，明显为其他项目的模板套用。未承诺免费培训，且方案不具备可操作性得3-5分； 未提供任何培训方案或提供的方案完全不正确或明确表示无法满足项目的基本培训要求，得0-2分。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提供了专门的验收方案且完整清晰：方案内容完整，包含明确的验收标准、验收流程、验收方法、参与人员、时间安排和所需文档清单；逻辑清晰，易于理解。有针对性与可行性：方案充分针对本项目的技术特点、交付物和采购需求制定，条款具体、可操作、无歧义，在本项目中完全可行。高效性：方案设计充分考虑了采购人的便利，流程简洁，环节设置合理，能有效提升验收效率。得9-10分。 提供了验收方案，方案内容较为完整，涵盖了核心的验收流程和标准，表述基本清晰。针对性与可行性：方案能结合本项目进行描述，内容具体且可行，但部分细节可以进一步完善。得6-8分。 提供了验收方案。方案包含了基本的验收思路和主要步骤，但内容可能不够详尽，或部分使用了通用模板。方案基本可行，但缺乏针对本项目的深入考量。得3-5分 。 提供的验收方案内容严重缺失、空洞，无法作为有效的验收依据。 方案与本项目关联性极弱，为明显的套用。方案中存在明显的错误或不可行的条款。得1-2分。 未提供任何验收方案或提供的方案完全不正确或明确表示无法满足项目的验收要求得0分。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本项目后续服务方案及承诺</w:t>
            </w:r>
          </w:p>
        </w:tc>
        <w:tc>
          <w:tcPr>
            <w:tcW w:type="dxa" w:w="2492"/>
          </w:tcPr>
          <w:p>
            <w:pPr>
              <w:pStyle w:val="null3"/>
            </w:pPr>
            <w:r>
              <w:rPr>
                <w:rFonts w:ascii="仿宋_GB2312" w:hAnsi="仿宋_GB2312" w:cs="仿宋_GB2312" w:eastAsia="仿宋_GB2312"/>
              </w:rPr>
              <w:t>内容完整性方案全面覆盖了“项目后续服务方案”、“服务配合计划”、“服务承诺”三项核心内容。方案质量：针对性与具体性：服务方案充分针对本项目特点，提供了详细、具体的服务流程、故障响应机制、定期维护安排等，人员安排职责明确、架构清晰。承诺水平：服务承诺全面、到位（例如：明确具体的响应时间、解决时限、免费保修期限及范围等），远超采购基本要求。可行性：整体方案逻辑严谨、资源配备合理，可操作性极强，能确保项目后续服务高效、可靠运行。得9-10分。 方案覆盖了全部三项核心内容。有针对性，方案能结合本项目进行描述，各项安排具体、可行。承诺水平：服务承诺符合或略高于采购基本要求。有可行性，方案能够支持项目的顺利完成，但部分细节可以更详尽。得6-8分。 方案内容基本完整，但可能有一项内容（如服务配合计划）较为简略。 方案质量：方案为通用性描述，仅简单提及本项目，缺乏深入的针对性分析。各项措施和承诺虽然常规、缺乏亮点，但基本可行，能满足最低要求。得3-5分。 方案缺失超过一项关键内容或方案内容严重空洞、泛泛而谈，无法体现对本项目的具体服务安排或服务承诺低于采购文件的基本要求。得1-2分。 方案内容缺失极其严重或方案完全脱离本项目需求，或提供的服务承诺与项目实际严重不符或存在明显错误、不可行的条款，或未提供本项方案得0分。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全部技术参数均满足招标要求（无任何负偏离）的，得 10分。每有一项负偏离扣2分，扣完为止。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供应商自2020年1月至今提供类似的业绩，每提供1项得5分，最高不超过10分。（须提供合同复印件或中标通知书复印件，类似项目指特种车辆销售业绩，若为代理商，提供代理商业绩；若为制造商提供制造商业绩）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经初步审查合格的投标文件，满足招标文件要求且报价最低的供应商的价格为基准价，其价格分为满分。其他供应商的价格分统一按照下列公式计算： 报价得分=（基准价/投标报价）×30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