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版本号：ZDSL25-100Z20251127002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商洛市深化国家气候适应型城市建设试点技术服务项目（2025-2027）</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ZDSL25-100Z</w:t>
      </w:r>
      <w:r>
        <w:br/>
      </w:r>
      <w:r>
        <w:br/>
      </w:r>
      <w:r>
        <w:br/>
      </w:r>
    </w:p>
    <w:p>
      <w:pPr>
        <w:pStyle w:val="null3"/>
        <w:jc w:val="center"/>
        <w:outlineLvl w:val="2"/>
      </w:pPr>
      <w:r>
        <w:rPr>
          <w:rFonts w:ascii="仿宋_GB2312" w:hAnsi="仿宋_GB2312" w:cs="仿宋_GB2312" w:eastAsia="仿宋_GB2312"/>
          <w:sz w:val="28"/>
          <w:b/>
        </w:rPr>
        <w:t>商洛市生态环境局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商洛市生态环境局</w:t>
      </w:r>
      <w:r>
        <w:rPr>
          <w:rFonts w:ascii="仿宋_GB2312" w:hAnsi="仿宋_GB2312" w:cs="仿宋_GB2312" w:eastAsia="仿宋_GB2312"/>
        </w:rPr>
        <w:t>委托，拟对</w:t>
      </w:r>
      <w:r>
        <w:rPr>
          <w:rFonts w:ascii="仿宋_GB2312" w:hAnsi="仿宋_GB2312" w:cs="仿宋_GB2312" w:eastAsia="仿宋_GB2312"/>
        </w:rPr>
        <w:t>商洛市深化国家气候适应型城市建设试点技术服务项目（2025-2027）</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ZDSL25-100Z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商洛市深化国家气候适应型城市建设试点技术服务项目（2025-2027）</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推动商洛市深化国家气候适应型城市建设试点建设工作，需采购专业技术团队，围绕商洛市气象、水利、城市管理、城市建设、卫生、应急等方面工作，对商洛市深化国家气候适应型城市建设试点工作进行研判，形成特点突出、分析明确的《商洛市深化国家气候适应型城市建设试点建设方案》。项目期间（2025-2027年）持续开展跟踪评估，根据国家适应气候变化工作新要求和试点推进情况，及时提出试点建设更新调整建议，形成每年度评估报告及项目总结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采购包1（商洛市深化国家气候适应型城市建设试点技术服务）：属于专门面向中小企业采购。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陕西省商洛市商州区民生路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袁富安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0914-2998639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陕西省商洛市商州区民生路全兴紫苑10、11号 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马一妃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15309181965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开户名称：正大方略工程咨询有限公司商洛分公司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银行账号：61050167450000000287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格为基础，参照《招标代理服务收费管理暂行办法》的通知（计价格[2002]1980号）和《关于招标代理服务收费有关问题的通知》（发改办价格[2003]857号）的有关规定收取，具体收费金额将在成交公告中公布，在发出成交通知书前由成交供应商向代理机构一次性支付。 2、代理服务费可以采取现金、支票、银行汇票、电汇、网银等方式缴纳。 3、代理服务费缴纳信息： 银行户名：正大方略工程咨询有限公司商洛分公司 开户银行：中国建设银行股份有限公司商洛商州支行 账号：61050167410000000144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商洛市生态环境局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联系人：马一妃</w:t>
      </w:r>
    </w:p>
    <w:p>
      <w:pPr>
        <w:pStyle w:val="null3"/>
      </w:pPr>
      <w:r>
        <w:rPr>
          <w:rFonts w:ascii="仿宋_GB2312" w:hAnsi="仿宋_GB2312" w:cs="仿宋_GB2312" w:eastAsia="仿宋_GB2312"/>
        </w:rPr>
        <w:t>联系电话：15309181965</w:t>
      </w:r>
    </w:p>
    <w:p>
      <w:pPr>
        <w:pStyle w:val="null3"/>
      </w:pPr>
      <w:r>
        <w:rPr>
          <w:rFonts w:ascii="仿宋_GB2312" w:hAnsi="仿宋_GB2312" w:cs="仿宋_GB2312" w:eastAsia="仿宋_GB2312"/>
        </w:rPr>
        <w:t>地址：陕西省商洛市商州区民生路全兴紫苑10、11号商铺三楼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推动商洛市深化国家气候适应型城市建设试点建设工作，需采购专业技术团队，围绕商洛市气象、水利、城市管理、城市建设、卫生、应急等方面工作，对商洛市深化国家气候适应型城市建设试点工作进行研判，形成特点突出、分析明确的《商洛市深化国家气候适应型城市建设试点建设方案》。项目期间（2025-2027年）持续开展跟踪评估，根据国家适应气候变化工作新要求和试点推进情况，及时提出试点建设更新调整建议，形成每年度评估报告及项目总结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rPr>
              <w:t>一、服务目标</w:t>
            </w:r>
          </w:p>
          <w:p>
            <w:pPr>
              <w:pStyle w:val="null3"/>
              <w:ind w:firstLine="400"/>
              <w:jc w:val="left"/>
            </w:pPr>
            <w:r>
              <w:rPr>
                <w:rFonts w:ascii="仿宋_GB2312" w:hAnsi="仿宋_GB2312" w:cs="仿宋_GB2312" w:eastAsia="仿宋_GB2312"/>
                <w:sz w:val="20"/>
              </w:rPr>
              <w:t>为进一步推动商洛市深化国家气候适应型城市建设试点建设工作，围绕商洛市气象、水利、城市管理</w:t>
            </w:r>
            <w:r>
              <w:rPr>
                <w:rFonts w:ascii="仿宋_GB2312" w:hAnsi="仿宋_GB2312" w:cs="仿宋_GB2312" w:eastAsia="仿宋_GB2312"/>
                <w:sz w:val="20"/>
              </w:rPr>
              <w:t>、城市</w:t>
            </w:r>
            <w:r>
              <w:rPr>
                <w:rFonts w:ascii="仿宋_GB2312" w:hAnsi="仿宋_GB2312" w:cs="仿宋_GB2312" w:eastAsia="仿宋_GB2312"/>
                <w:sz w:val="20"/>
              </w:rPr>
              <w:t>建设、卫生、应急等方面工作，对商洛市深化国家气候适应型城市建设试点工作</w:t>
            </w:r>
            <w:r>
              <w:rPr>
                <w:rFonts w:ascii="仿宋_GB2312" w:hAnsi="仿宋_GB2312" w:cs="仿宋_GB2312" w:eastAsia="仿宋_GB2312"/>
                <w:sz w:val="20"/>
              </w:rPr>
              <w:t>进行</w:t>
            </w:r>
            <w:r>
              <w:rPr>
                <w:rFonts w:ascii="仿宋_GB2312" w:hAnsi="仿宋_GB2312" w:cs="仿宋_GB2312" w:eastAsia="仿宋_GB2312"/>
                <w:sz w:val="20"/>
              </w:rPr>
              <w:t>研判，形成特点突出、分析明确的《商洛市深化国家气候适应型城市建设试点建设方案》。项目期间（</w:t>
            </w:r>
            <w:r>
              <w:rPr>
                <w:rFonts w:ascii="仿宋_GB2312" w:hAnsi="仿宋_GB2312" w:cs="仿宋_GB2312" w:eastAsia="仿宋_GB2312"/>
                <w:sz w:val="20"/>
              </w:rPr>
              <w:t>2025-2027年）持续开展跟踪评估，根据国家适应气候变化工作新要求和试点推进情况，及时提出试点建设更新调整建议，形成每年度评估报告及项目总结报告。</w:t>
            </w:r>
          </w:p>
          <w:p>
            <w:pPr>
              <w:pStyle w:val="null3"/>
              <w:ind w:firstLine="400"/>
              <w:jc w:val="left"/>
            </w:pPr>
            <w:r>
              <w:rPr>
                <w:rFonts w:ascii="仿宋_GB2312" w:hAnsi="仿宋_GB2312" w:cs="仿宋_GB2312" w:eastAsia="仿宋_GB2312"/>
                <w:sz w:val="20"/>
              </w:rPr>
              <w:t>二、服务内容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1）商洛市深化国家气候适应型城市建设试点实施方案修编</w:t>
            </w:r>
          </w:p>
          <w:p>
            <w:pPr>
              <w:pStyle w:val="null3"/>
              <w:ind w:firstLine="400"/>
              <w:jc w:val="left"/>
            </w:pPr>
            <w:r>
              <w:rPr>
                <w:rFonts w:ascii="仿宋_GB2312" w:hAnsi="仿宋_GB2312" w:cs="仿宋_GB2312" w:eastAsia="仿宋_GB2312"/>
                <w:sz w:val="20"/>
              </w:rPr>
              <w:t>深入开展资料研究、实地调研和多方访谈，全面评估商洛市的现状基础、气候风险和深化需求。在此基础上，运用科学模型和分析工具，明确</w:t>
            </w:r>
            <w:r>
              <w:rPr>
                <w:rFonts w:ascii="仿宋_GB2312" w:hAnsi="仿宋_GB2312" w:cs="仿宋_GB2312" w:eastAsia="仿宋_GB2312"/>
                <w:sz w:val="20"/>
              </w:rPr>
              <w:t>试点建设</w:t>
            </w:r>
            <w:r>
              <w:rPr>
                <w:rFonts w:ascii="仿宋_GB2312" w:hAnsi="仿宋_GB2312" w:cs="仿宋_GB2312" w:eastAsia="仿宋_GB2312"/>
                <w:sz w:val="20"/>
              </w:rPr>
              <w:t>指导思想、总体目标、关键指标、重点任务和示范工程，最终编制完成一份高水平、可操作、特点突出、分析明确的《商洛市深化国家气候适应型城市建设试点建设方案》。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2）商洛市深化国家气候适应型城市建设试点年度评估报告编制</w:t>
            </w:r>
          </w:p>
          <w:p>
            <w:pPr>
              <w:pStyle w:val="null3"/>
              <w:ind w:firstLine="400"/>
              <w:jc w:val="left"/>
            </w:pPr>
            <w:r>
              <w:rPr>
                <w:rFonts w:ascii="仿宋_GB2312" w:hAnsi="仿宋_GB2312" w:cs="仿宋_GB2312" w:eastAsia="仿宋_GB2312"/>
                <w:sz w:val="20"/>
              </w:rPr>
              <w:t>在</w:t>
            </w:r>
            <w:r>
              <w:rPr>
                <w:rFonts w:ascii="仿宋_GB2312" w:hAnsi="仿宋_GB2312" w:cs="仿宋_GB2312" w:eastAsia="仿宋_GB2312"/>
                <w:sz w:val="20"/>
              </w:rPr>
              <w:t>2025年和2026年底，依据上述方案中确定的指标体系，建立一套动态监测与评估机制。通过收集各相关部门的年度工作进展数据、分析当年气候事件影响，对试点工作的年度成效、存在问题进行客观、量化的评估，并提出下一年度的工作优化建议，形成《商洛市深化国家气候适应型城市建设试点2025年度评估报告》《商洛市深化国家气候适应型城市建设试点2026年度评估报告》，确保试点工作动态调整、稳步前行。</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3）商洛市深化国家气候适应型城市建设试点建设总结报告编制</w:t>
            </w:r>
          </w:p>
          <w:p>
            <w:pPr>
              <w:pStyle w:val="null3"/>
              <w:ind w:firstLine="400"/>
              <w:jc w:val="left"/>
            </w:pPr>
            <w:r>
              <w:rPr>
                <w:rFonts w:ascii="仿宋_GB2312" w:hAnsi="仿宋_GB2312" w:cs="仿宋_GB2312" w:eastAsia="仿宋_GB2312"/>
                <w:sz w:val="20"/>
              </w:rPr>
              <w:t>在</w:t>
            </w:r>
            <w:r>
              <w:rPr>
                <w:rFonts w:ascii="仿宋_GB2312" w:hAnsi="仿宋_GB2312" w:cs="仿宋_GB2312" w:eastAsia="仿宋_GB2312"/>
                <w:sz w:val="20"/>
              </w:rPr>
              <w:t>2027年底，对三年试点工作进行一次全面、系统的回顾与总结。综合分析历史数据与两份年度报告，从总体目标完成度、重点项目综合效益、创新机制有效性等多个维度进行终期评估，并系统性地凝练、提升形成具有商洛特色的气候适应“商洛模式”与典型案例，最终撰写完成《商洛市深化国家气候适应型城市建设试点建设评估报告(2025-2027)》。</w:t>
            </w:r>
          </w:p>
          <w:p>
            <w:pPr>
              <w:pStyle w:val="null3"/>
              <w:ind w:firstLine="400"/>
              <w:jc w:val="left"/>
            </w:pPr>
            <w:r>
              <w:rPr>
                <w:rFonts w:ascii="仿宋_GB2312" w:hAnsi="仿宋_GB2312" w:cs="仿宋_GB2312" w:eastAsia="仿宋_GB2312"/>
                <w:sz w:val="20"/>
              </w:rPr>
              <w:t>三、服务要求、标准</w:t>
            </w:r>
          </w:p>
          <w:p>
            <w:pPr>
              <w:pStyle w:val="null3"/>
              <w:ind w:firstLine="400"/>
              <w:jc w:val="left"/>
            </w:pPr>
            <w:r>
              <w:rPr>
                <w:rFonts w:ascii="仿宋_GB2312" w:hAnsi="仿宋_GB2312" w:cs="仿宋_GB2312" w:eastAsia="仿宋_GB2312"/>
                <w:sz w:val="20"/>
              </w:rPr>
              <w:t>按照国家及地方相关法律法规及政策文件开展相关工作。编制工作完成后，组织专家对方案、报告进行评审，确保数据质量和报告的完整规范。</w:t>
            </w:r>
          </w:p>
          <w:p>
            <w:pPr>
              <w:pStyle w:val="null3"/>
              <w:ind w:firstLine="400"/>
              <w:jc w:val="left"/>
            </w:pPr>
            <w:r>
              <w:rPr>
                <w:rFonts w:ascii="仿宋_GB2312" w:hAnsi="仿宋_GB2312" w:cs="仿宋_GB2312" w:eastAsia="仿宋_GB2312"/>
                <w:sz w:val="20"/>
              </w:rPr>
              <w:t>四、服务期</w:t>
            </w:r>
          </w:p>
          <w:p>
            <w:pPr>
              <w:pStyle w:val="null3"/>
            </w:pPr>
            <w:r>
              <w:rPr>
                <w:rFonts w:ascii="仿宋_GB2312" w:hAnsi="仿宋_GB2312" w:cs="仿宋_GB2312" w:eastAsia="仿宋_GB2312"/>
                <w:sz w:val="20"/>
              </w:rPr>
              <w:t>在</w:t>
            </w:r>
            <w:r>
              <w:rPr>
                <w:rFonts w:ascii="仿宋_GB2312" w:hAnsi="仿宋_GB2312" w:cs="仿宋_GB2312" w:eastAsia="仿宋_GB2312"/>
                <w:sz w:val="20"/>
              </w:rPr>
              <w:t>2025-2027年按照具体工作内容时间节点完成相关方案、报告编制。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其他未列明行业：从业人员300人以下的为中小微型企业。其中，从业人员100人及以上的为中型企业；从业人员10人及以上的为小型企业；从业人员10人以下的为微型企业。2.为保障政府采购电子化交易平台项目实施，供应商需要在线提交所有通过电子化交易平台实施的政府采购项目的响应文件，成交供应商在中标（成交）结果公示期结束后须向代理机构提交纸质版响应文件正本1套、副本2套、电子版(U盘1份）。纸质响应文件应与电子响应文件保持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在2025-2027年按照具体工作内容时间节点完成相关方案、报告编制。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按照国家及地方相关法律法规及政策文件开展相关工作。编制工作完成后，组织专家对方案、报告进行评审，确保数据质量和报告的完整规范。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合同签订后，完成2025年任务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项目验收评审合格后，完成2026年任务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项目验收评审合格后，完成2027年任务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1.本项目所属行业：其他未列明行业：从业人员300人以下的为中小微型企业。其中，从业人员100人及以上的为中型企业；从业人员10人及以上的为小型企业；从业人员10人以下的为微型企业。 2.为保障政府采购电子化交易平台项目实施，供应商需要在线提交所有通过电子化交易平台实施的政府采购项目的响应文件，成交供应商在中标（成交）结果公示期结束后须向代理机构提交纸质版响应文件正本1套、副本2套、电子版(U盘1份）。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（4）供应商参加本次磋商前3年内，在经营活动中没有重大违法记录的书面声明；（格式详见附件）</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提供2024年度经审计的供应商财务报告（包括 “四表一注”即《资产负债表》《利润表》《现金流量表》《所有者权益变动表》及其附注）或者提供响应文件截止时间3个月内其基本账户开户银行出具的资信证明；</w:t>
            </w:r>
          </w:p>
        </w:tc>
        <w:tc>
          <w:tcPr>
            <w:tcW w:type="dxa" w:w="1661"/>
          </w:tcPr>
          <w:p>
            <w:pPr>
              <w:pStyle w:val="null3"/>
            </w:pPr>
            <w:r>
              <w:rPr>
                <w:rFonts w:ascii="仿宋_GB2312" w:hAnsi="仿宋_GB2312" w:cs="仿宋_GB2312" w:eastAsia="仿宋_GB2312"/>
              </w:rPr>
              <w:t>财务状况报告.docx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分项报价明细价表.docx 标的清单 报价表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服务内容及服务邀请应答表 分项报价明细价表.docx 中小企业声明函 商务应答表 一般资格要求.docx 报价表 财务状况报告.docx 项目组织实施人员.docx 响应文件封面 供应商近3年完成的类似业绩证明材料.docx 技术文件.docx 供应商认为有必要补充说明的事项.docx 残疾人福利性单位声明函 标的清单 响应函 磋商报价一览表.docx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响应文件封面 分项报价明细价表.docx 标的清单 报价表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供应商认为有必要补充说明的事项.docx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磋商报价一览表.docx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提供2022年1月1日至今（以合同签订时间为准类似项目业绩，每提供1个类似业绩得2分，满分6分。 备注：须提供业绩合同首页、项目名称及金额所在页、合同签字盖章页并加盖供应商公章，否则不得分。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供应商近3年完成的类似业绩证明材料.docx</w:t>
            </w:r>
          </w:p>
        </w:tc>
      </w:tr>
      <w:tr>
        <w:tc>
          <w:tcPr>
            <w:tcW w:type="dxa" w:w="831"/>
            <w:vMerge/>
          </w:tcPr>
          <w:p/>
        </w:tc>
        <w:tc>
          <w:tcPr>
            <w:tcW w:type="dxa" w:w="1661"/>
          </w:tcPr>
          <w:p>
            <w:pPr>
              <w:pStyle w:val="null3"/>
            </w:pPr>
            <w:r>
              <w:rPr>
                <w:rFonts w:ascii="仿宋_GB2312" w:hAnsi="仿宋_GB2312" w:cs="仿宋_GB2312" w:eastAsia="仿宋_GB2312"/>
              </w:rPr>
              <w:t>拟投入主要技术、管理人员情况</w:t>
            </w:r>
          </w:p>
        </w:tc>
        <w:tc>
          <w:tcPr>
            <w:tcW w:type="dxa" w:w="2492"/>
          </w:tcPr>
          <w:p>
            <w:pPr>
              <w:pStyle w:val="null3"/>
            </w:pPr>
            <w:r>
              <w:rPr>
                <w:rFonts w:ascii="仿宋_GB2312" w:hAnsi="仿宋_GB2312" w:cs="仿宋_GB2312" w:eastAsia="仿宋_GB2312"/>
              </w:rPr>
              <w:t>（1）拟投入项目负责人具有生态环境相关专业副高级及以上职称，具有正高级职称的得3分，具有副高级职称的得2分。 （2）除项目负责人以外，配备的主要技术人员具有生态环境相关专业中级及以上职称，具有正高级或副高级职称的每人得1分，最高得3分；具有中级职称的每人得0.5分，最高得3分。此项满分6分。 注：需提供有关人员职称证书或聘用证书等证明文件的扫描（复印）件，劳动合同复印件或近半年的社保缴纳凭证，并加盖供应商公章，未提供证明材料的不得分。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项目组织实施人员.docx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针对本项目内容提出适用于本项目的售后服务方案，方案包括：①售后服务点安排、售后服务方式及售后服务体系；②售后服务人员结构。 二、评审标准 1.完整性：方案必须全面，对评审内容中的各项要求有详细描述。 2、可实施性：切合本项目实际情况，提出步骤清晰、合理的方案。 3、针对性：方案能够紧扣项目实际情况，内容科学合理。 三、赋分标准（满分12分） ①售后服务点安排、售后服务方式及售后服务体系：每完全满足一个评审标准得2分；针对评审标准存在有不合理处的得1.5分；内容与本项目无关或未提供的得0分。 ②售后服务人员结构：每完全满足一个评审标准得2分；针对评审标准存在有不合理处的得0.5分；内容与本项目无关或未提供的得0分。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进度计划与安排</w:t>
            </w:r>
          </w:p>
        </w:tc>
        <w:tc>
          <w:tcPr>
            <w:tcW w:type="dxa" w:w="2492"/>
          </w:tcPr>
          <w:p>
            <w:pPr>
              <w:pStyle w:val="null3"/>
            </w:pPr>
            <w:r>
              <w:rPr>
                <w:rFonts w:ascii="仿宋_GB2312" w:hAnsi="仿宋_GB2312" w:cs="仿宋_GB2312" w:eastAsia="仿宋_GB2312"/>
              </w:rPr>
              <w:t>针对本项目提供详细的①项目进度安排②服务响应时间③成果按期保证措施④检查验收。 评审标准：（1）完整性：总体思路清晰，服务进度保障措施内容全面，对各方面有详细的描述和说明。 （2）合理性：项目切合实际，思路清晰，科学合理。 （3）针对性：进度控制程序规范严谨、措施完整有力紧扣项目特点和采购需求，针对性强。 赋分标准（满分12分） ①项目总体实施思路：每完全满足一个评审标准得1分；针对评审标准存在有不合理处的得0.5分；内容与本项目无关或未提供的得0分； ②详细实施计划：每完全满足一个评审标准得1分；针对评审标准存在有不合理处的得0.5分；内容与本项目无关或未提供的得0分； ③服务响应时间：每完全满足一个评审标准得1分；针对评审标准存在有不合理处的得0.5分；内容与本项目无关或未提供的得0分； ④检查验收：每完全满足一个评审标准得1分；针对评审标准存在有不合理处的得0.5分；内容与本项目无关或未提供的得0分。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服务团队配备人员分工安排及岗位管理制度</w:t>
            </w:r>
          </w:p>
        </w:tc>
        <w:tc>
          <w:tcPr>
            <w:tcW w:type="dxa" w:w="2492"/>
          </w:tcPr>
          <w:p>
            <w:pPr>
              <w:pStyle w:val="null3"/>
            </w:pPr>
            <w:r>
              <w:rPr>
                <w:rFonts w:ascii="仿宋_GB2312" w:hAnsi="仿宋_GB2312" w:cs="仿宋_GB2312" w:eastAsia="仿宋_GB2312"/>
              </w:rPr>
              <w:t>针对本项目提供有①服务团队配备人员分工安排②人员岗位管理制度。 评审标准：（1）完整性：内容全面，对各方面有详细的描述和说明。 （2）合理性：项目切合实际，思路清晰，科学合理。 （3）针对性：方案编制紧扣项目特点和采购需求，针对性强。 赋分标准（满分12分） ①在项目实施过程中提出容易出错或忽略的重点、难点分析：每完全满足一个评审标准得2分；针对评审标准存在有不合理处的得1.5分；内容与本项目无关或未提供的得0分； ②针对所提出的重点、难点有相应的解决方案：每完全满足一个评审标准得2分；针对评审标准存在有不合理处的得1.5分；内容与本项目无关或未提供的得0分。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编制工作中重点、难点分析、合理化建议</w:t>
            </w:r>
          </w:p>
        </w:tc>
        <w:tc>
          <w:tcPr>
            <w:tcW w:type="dxa" w:w="2492"/>
          </w:tcPr>
          <w:p>
            <w:pPr>
              <w:pStyle w:val="null3"/>
            </w:pPr>
            <w:r>
              <w:rPr>
                <w:rFonts w:ascii="仿宋_GB2312" w:hAnsi="仿宋_GB2312" w:cs="仿宋_GB2312" w:eastAsia="仿宋_GB2312"/>
              </w:rPr>
              <w:t>针对本项目提供有①在项目实施过程中提出容易出错或忽略的重点、难点分析②针对所提出的重点、难点有相应的解决方案。 评审标准：（1）完整性：内容全面，对各方面有详细的描述和说明。 （2）合理性：项目切合实际，思路清晰，科学合理。 （3）针对性：方案编制紧扣项目特点和采购需求，针对性强。 赋分标准（满分9分） ①在项目实施过程中提出容易出错或忽略的重点、难点分析：每完全满足一个评审标准得1.5分；针对评审标准存在有不合理处的得1分；内容与本项目无关或未提供的得0分； ②针对所提出的重点、难点有相应的解决方案：每完全满足一个评审标准得1.5分；针对评审标准存在有不合理处的得1分；内容与本项目无关或未提供的得0分。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评审内容：服务质量保障措施包括①服务专业人员素质保障②服务方案保障③服务全过程资料保障④服务成果保障。 评审标准：（1）完整性：服务质量保障措施内容全面，对各方面有详细的描述和说明。 （2）合理性：项目切合实际，思路清晰，科学合理。 （3）针对性：质量控制程序规范严谨、措施完整有力紧扣项目特点和采购需求，针对性强。 赋分标准（满分12分） ①服务专业人员素质保障：每完全满足一个评审标准得1分；针对评审标准存在有不合理处的得0.5分；内容与本项目无关或未提供的得0分； ②服务方案保障：每完全满足一个评审标准得1分；针对评审标准存在有不合理处的得0.5分；内容与本项目无关或未提供的得0分； ③服务全过程资料保障：每完全满足一个评审标准得1分；针对评审标准存在有不合理处的得0.5分；内容与本项目无关或未提供的得0分； ④服务成果保障：每完全满足一个评审标准得1分；针对评审标准存在有不合理处的得0.5分；内容与本项目无关或未提供的得0分。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对研究区域的背景资料、研究区现状掌握情况</w:t>
            </w:r>
          </w:p>
        </w:tc>
        <w:tc>
          <w:tcPr>
            <w:tcW w:type="dxa" w:w="2492"/>
          </w:tcPr>
          <w:p>
            <w:pPr>
              <w:pStyle w:val="null3"/>
            </w:pPr>
            <w:r>
              <w:rPr>
                <w:rFonts w:ascii="仿宋_GB2312" w:hAnsi="仿宋_GB2312" w:cs="仿宋_GB2312" w:eastAsia="仿宋_GB2312"/>
              </w:rPr>
              <w:t>评审内容：供应商对本项目工作背景进行深入分析和研究①项目理解、②工作思路、③工作依据、④效益分析。 评审标准：（1）完整性：内容全面，对各方面有详细的描述和说明。 （2）合理性：项目切合实际，思路清晰，科学合理。 （3）针对性：方案编制紧扣项目特点和采购需求，针对性强。 赋分标准（满分18分） ①项目理解：每完全满足一个评审标准得1.5分；针对评审标准存在有不合理处的得1分；内容与本项目无关或未提供的得0分。 ②工作思路：每完全满足一个评审标准得1.5分；针对评审标准存在有不合理处的得1分；内容与本项目无关或未提供的得0分。 ③工作依据：每完全满足一个评审标准得1.5分；针对评审标准存在有不合理处的得1分；内容与本项目无关或未提供的得0分。 ④效益分析：每完全满足一个评审标准得1.5分；针对评审标准存在有不合理处的得1分；内容与本项目无关或未提供的得0分。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详见附件：财务状况报告.docx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详见附件：供应商近3年完成的类似业绩证明材料.docx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详见附件：项目组织实施人员.docx</w:t>
      </w:r>
    </w:p>
    <w:p>
      <w:pPr>
        <w:pStyle w:val="null3"/>
        <w:ind w:firstLine="960"/>
      </w:pPr>
      <w:r>
        <w:rPr>
          <w:rFonts w:ascii="仿宋_GB2312" w:hAnsi="仿宋_GB2312" w:cs="仿宋_GB2312" w:eastAsia="仿宋_GB2312"/>
        </w:rPr>
        <w:t>详见附件：分项报价明细价表.docx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