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版本号：LS-2025-11-08.1B120251127001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2025年度信息系统软件维护项目(二次)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LS-2025-11-08.1B1</w:t>
      </w:r>
      <w:r>
        <w:br/>
      </w:r>
      <w:r>
        <w:br/>
      </w:r>
      <w:r>
        <w:br/>
      </w:r>
    </w:p>
    <w:p>
      <w:pPr>
        <w:pStyle w:val="null3"/>
        <w:jc w:val="center"/>
        <w:outlineLvl w:val="2"/>
      </w:pPr>
      <w:r>
        <w:rPr>
          <w:rFonts w:ascii="仿宋_GB2312" w:hAnsi="仿宋_GB2312" w:cs="仿宋_GB2312" w:eastAsia="仿宋_GB2312"/>
          <w:sz w:val="28"/>
          <w:b/>
        </w:rPr>
        <w:t>商洛市妇幼保健院</w:t>
      </w:r>
    </w:p>
    <w:p>
      <w:pPr>
        <w:pStyle w:val="null3"/>
        <w:jc w:val="center"/>
        <w:outlineLvl w:val="2"/>
      </w:pPr>
      <w:r>
        <w:rPr>
          <w:rFonts w:ascii="仿宋_GB2312" w:hAnsi="仿宋_GB2312" w:cs="仿宋_GB2312" w:eastAsia="仿宋_GB2312"/>
          <w:sz w:val="28"/>
          <w:b/>
        </w:rPr>
        <w:t>陕西洛砷项目管理有限公司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陕西洛砷项目管理有限公司</w:t>
      </w:r>
      <w:r>
        <w:rPr>
          <w:rFonts w:ascii="仿宋_GB2312" w:hAnsi="仿宋_GB2312" w:cs="仿宋_GB2312" w:eastAsia="仿宋_GB2312"/>
        </w:rPr>
        <w:t>（以下简称“代理机构”）受</w:t>
      </w:r>
      <w:r>
        <w:rPr>
          <w:rFonts w:ascii="仿宋_GB2312" w:hAnsi="仿宋_GB2312" w:cs="仿宋_GB2312" w:eastAsia="仿宋_GB2312"/>
        </w:rPr>
        <w:t>商洛市妇幼保健院</w:t>
      </w:r>
      <w:r>
        <w:rPr>
          <w:rFonts w:ascii="仿宋_GB2312" w:hAnsi="仿宋_GB2312" w:cs="仿宋_GB2312" w:eastAsia="仿宋_GB2312"/>
        </w:rPr>
        <w:t>委托，拟对</w:t>
      </w:r>
      <w:r>
        <w:rPr>
          <w:rFonts w:ascii="仿宋_GB2312" w:hAnsi="仿宋_GB2312" w:cs="仿宋_GB2312" w:eastAsia="仿宋_GB2312"/>
        </w:rPr>
        <w:t>2025年度信息系统软件维护项目(二次)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LS-2025-11-08.1B1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2025年度信息系统软件维护项目(二次)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维护服务内容： 1.运维服务 1.1、系统突发事件处理：建立 7×24 小时应急响应机制，若维保合同内信息系统出现突发事件，如系统崩溃、数据丢失、软件层面导致的业务中断等，立即启动应急预案。通过现场排查或远程诊断，快速定位故障原因，制定维修方案，在最短时间内恢复系统正常运行，减少对医院业务的影响。 1.2、软件功能完善优化：根据医院业务发展和用户反馈，对软件功能进行持续优化。例如，优化门诊挂号和收费流程，减少患者排队时间；完善住院电子病历系统，提高病历书写和管理效率； 1.3、软件缺陷修复：定期对软件进行漏洞扫描和安全检测，及时发现并修复软件存在的缺陷和安全漏洞，保障系统安全稳定运行。 1.4、数据信息维护：如因误操作、系统故障等原因导致的数据错误，需对医院的数据恢复和修复提供配合协助。对医院正常运行涉及的医保财务对账处理业务，运维方应积极做好配合。对临床科室各类医嘱、检验检查申请单、报表、表单要求设计改变的运维方应积极配合修改。 1.5、数据库定期清理优化：核心硬件设备服务器、存储、虚拟化软件出现问题时，需中标单位提供技术支持，若产生相关费用另行核算。定期对合同内软件系统数据库进行清理和优化，保障系统运行速度。 2、咨询服务 2.1、业务咨询：安排专业顾问团队，为医院各部门提供信息系统相关的业务咨询服务。协助医院优化业务流程，提高工作效率，如提供电子病历、临床路径、医保接口等业务咨询，保障临床业务和医保结算准确高效。 2.2、技术咨询：解答医院在信息系统技术方面的疑问，提供信息技术方案和建议。例如，在系统升级、硬件更换等方面提供专业方案和建议，帮助医院做出合理运营决策。 2.3、信息提供：及时向医院提供行业最新技术动态、政策法规变化等信息，帮助医院掌握智慧医院建设、信息化互联互通发展趋势，为医院信息化建设提供参考。 3、数据安全及保密 3.1、数据备份：协助医院制定详细的数据备份策略，每天对关键数据进行全量备份，保障数据安全。协助医院定期对备份数据进行恢复测试，保障备份数据的可用性。 3.2、保密措施：建立严格的数据保密制度，对涉及医院的数据和资料进行严格保密。所有维护人员均签署保密协议，未经医院许可，不得将数据带出医院或用于其他非授权用途。 4、指导与培训 4.1全院性技术培训：组织至少1次全院性技术培训，培训内容包括软件新功能介绍、系统操作规范、信息安全知识等。采用集中授课、现场演示、远程指导等方式，确保医院全体员工能够熟练掌握信息系统的基本操作。 4.2信息中心工作人员培训：为信息中心工作人员提供 3 次以上专业技术培训，培训内容涵盖系统管理、故障排查、数据库维护等方面，提升信息中心工作人员的技术水平和日常维护能力。 5、运维总结 5.1定期报告：每月提交运维月报，总结当月运维工作情况，包括系统运行状况、故障处理情况、优化工作进展等；每季度提交运维季报，对本季度运维工作进行全面分析和总结。 5.2问题分析与整改：对运维过程中出现的技术问题和服务质量问题进行深入分析，找出问题根源，提出切实可行的整改方案，并跟踪整改效果，不断提升运维服务质量。 维护服务形式 1、被动式服务 1.1、现场技术服务：当系统出现故障导致业务中止或医院有紧急业务需求时，在接到通知后，紧急情况下 4 小时内派工程师到达现场（不可抗力因素除外）。到达现场后，迅速与医院技术人员一起对故障进行分析，制定解决方案，并在医院同意后进行处理和排除。 1.2、远程维护服务：通过电话、电子邮件、传真或远程访问等方式，为医院提供远程技术支持。对于一些简单故障，通过远程指导即可解决；对于复杂问题，可通过远程访问系统进行诊断和处理，提高故障处理效率。 2、主动式服务 2.1、按月巡检：每月至少一次到达医院现场，对维保合同内软件系统进行全面检查。包括软件运行状态检查、服务器资源检查等，及时发现潜在问题并进行处理，根据检查结果，对系统进行优化，及时调整系统参数、优化数据库性能。检查时与临床科室在系统使用方面应充分沟通，对出现的问题，详细记录并及时做好技术处理等。 2.2主动服务：定期将行业内先进的管理理念、管理思路和新的业务模式以报告形式推荐给医院，结合医院实际情况，提出业务模式整改建议，帮助医院提升信息化管理水平。 具体内容详见磋商文件。 服务期限：2025年度信息系统维护期限12个月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采购包1（合同1包）：属于专门面向中小企业采购。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2、法定代表人授权书：法定代表人授权书及被授权人身份证明。（法定代表人直接磋商只须提交其身份证明）</w:t>
      </w:r>
    </w:p>
    <w:p>
      <w:pPr>
        <w:pStyle w:val="null3"/>
      </w:pPr>
      <w:r>
        <w:rPr>
          <w:rFonts w:ascii="仿宋_GB2312" w:hAnsi="仿宋_GB2312" w:cs="仿宋_GB2312" w:eastAsia="仿宋_GB2312"/>
        </w:rPr>
        <w:t>3、信誉要求：投标人未被“信用中国”网站（ 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4、控股、管理关系：单位负责人为同一人或者存在直接控股、管理关系的不同供应商，不得参与同一合同项下的政府采购活动；为本项目提供整体设计、规范编制或者项目管理、监理、检测等服务的供应商，不得参加本项目磋商</w:t>
      </w:r>
    </w:p>
    <w:p>
      <w:pPr>
        <w:pStyle w:val="null3"/>
      </w:pPr>
      <w:r>
        <w:rPr>
          <w:rFonts w:ascii="仿宋_GB2312" w:hAnsi="仿宋_GB2312" w:cs="仿宋_GB2312" w:eastAsia="仿宋_GB2312"/>
        </w:rPr>
        <w:t>5、具有履行合同所必需的设备和专业技术能力：提供具有履行合同所必需的设备和专业技术能力的承诺函</w:t>
      </w:r>
    </w:p>
    <w:p>
      <w:pPr>
        <w:pStyle w:val="null3"/>
      </w:pPr>
      <w:r>
        <w:rPr>
          <w:rFonts w:ascii="仿宋_GB2312" w:hAnsi="仿宋_GB2312" w:cs="仿宋_GB2312" w:eastAsia="仿宋_GB2312"/>
        </w:rPr>
        <w:t>6、税收缴纳证明：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7、社会保障资金缴纳证明：提供2025年1月至今已缴存的至少一个月的社会保障资金缴存单据或社保机构开具的社会保险参保缴费情况证明，依法不需要缴纳社会保障资金的单位应提供相关证明材料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8、参加本次政府采购活动前三年内在经营活动中没有重大违纪：提供参加本次政府采购活动前三年内在经营活动中没有重大违纪书面声明</w:t>
      </w:r>
    </w:p>
    <w:p>
      <w:pPr>
        <w:pStyle w:val="null3"/>
      </w:pPr>
      <w:r>
        <w:rPr>
          <w:rFonts w:ascii="仿宋_GB2312" w:hAnsi="仿宋_GB2312" w:cs="仿宋_GB2312" w:eastAsia="仿宋_GB2312"/>
        </w:rPr>
        <w:t>9、法律、行政法规规定的其他条件：提供相关承诺书，格式自拟</w:t>
      </w:r>
    </w:p>
    <w:p>
      <w:pPr>
        <w:pStyle w:val="null3"/>
      </w:pPr>
      <w:r>
        <w:rPr>
          <w:rFonts w:ascii="仿宋_GB2312" w:hAnsi="仿宋_GB2312" w:cs="仿宋_GB2312" w:eastAsia="仿宋_GB2312"/>
        </w:rPr>
        <w:t>10、非联合体投标：提供非联合体投标承诺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商洛市商州区香菊路7号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09142093201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陕西洛砷项目管理有限公司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陕西省商洛市商州区陕西省商洛市商州区陈塬街道办事处陈塬社区江滨一号一号楼二单元301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0914-2992666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采购包1：403,700.00元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标的</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标的</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标的</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开户名称：陕西洛砷项目管理有限公司</w:t>
            </w:r>
          </w:p>
          <w:p>
            <w:pPr>
              <w:pStyle w:val="null3"/>
            </w:pPr>
            <w:r>
              <w:rPr>
                <w:rFonts w:ascii="仿宋_GB2312" w:hAnsi="仿宋_GB2312" w:cs="仿宋_GB2312" w:eastAsia="仿宋_GB2312"/>
              </w:rPr>
              <w:t>开户银行：中国建设银行股份有限公司商洛秦韵教育城支行</w:t>
            </w:r>
          </w:p>
          <w:p>
            <w:pPr>
              <w:pStyle w:val="null3"/>
            </w:pPr>
            <w:r>
              <w:rPr>
                <w:rFonts w:ascii="仿宋_GB2312" w:hAnsi="仿宋_GB2312" w:cs="仿宋_GB2312" w:eastAsia="仿宋_GB2312"/>
              </w:rPr>
              <w:t>银行账号：61050167450000000708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代理服务费，交费金额参照《招标代理服务收费管理暂行办法》（计价格（2002）1980号）附件规定的收费标准收取，不足伍仟元按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商洛市妇幼保健院</w:t>
      </w:r>
      <w:r>
        <w:rPr>
          <w:rFonts w:ascii="仿宋_GB2312" w:hAnsi="仿宋_GB2312" w:cs="仿宋_GB2312" w:eastAsia="仿宋_GB2312"/>
        </w:rPr>
        <w:t>和</w:t>
      </w:r>
      <w:r>
        <w:rPr>
          <w:rFonts w:ascii="仿宋_GB2312" w:hAnsi="仿宋_GB2312" w:cs="仿宋_GB2312" w:eastAsia="仿宋_GB2312"/>
        </w:rPr>
        <w:t>陕西洛砷项目管理有限公司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商洛市妇幼保健院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陕西洛砷项目管理有限公司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陕西洛砷项目管理有限公司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陕西洛砷项目管理有限公司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陕西洛砷项目管理有限公司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陕西洛砷项目管理有限公司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联系人：赵荣</w:t>
      </w:r>
    </w:p>
    <w:p>
      <w:pPr>
        <w:pStyle w:val="null3"/>
      </w:pPr>
      <w:r>
        <w:rPr>
          <w:rFonts w:ascii="仿宋_GB2312" w:hAnsi="仿宋_GB2312" w:cs="仿宋_GB2312" w:eastAsia="仿宋_GB2312"/>
        </w:rPr>
        <w:t>联系电话：0914-2992666</w:t>
      </w:r>
    </w:p>
    <w:p>
      <w:pPr>
        <w:pStyle w:val="null3"/>
      </w:pPr>
      <w:r>
        <w:rPr>
          <w:rFonts w:ascii="仿宋_GB2312" w:hAnsi="仿宋_GB2312" w:cs="仿宋_GB2312" w:eastAsia="仿宋_GB2312"/>
        </w:rPr>
        <w:t>地址：商洛市商州区民主路西安银行对面陕西洛砷项目管理有限公司</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8"/>
          <w:color w:val="000000"/>
        </w:rPr>
        <w:t>维护服务内容</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1.运维服务</w:t>
      </w:r>
    </w:p>
    <w:p>
      <w:pPr>
        <w:pStyle w:val="null3"/>
        <w:ind w:firstLine="560"/>
        <w:jc w:val="both"/>
      </w:pPr>
      <w:r>
        <w:rPr>
          <w:rFonts w:ascii="仿宋_GB2312" w:hAnsi="仿宋_GB2312" w:cs="仿宋_GB2312" w:eastAsia="仿宋_GB2312"/>
          <w:sz w:val="28"/>
          <w:color w:val="000000"/>
        </w:rPr>
        <w:t>1.1、系统突发事件处理：建立 7×24 小时应急响应机制，</w:t>
      </w:r>
      <w:r>
        <w:rPr>
          <w:rFonts w:ascii="仿宋_GB2312" w:hAnsi="仿宋_GB2312" w:cs="仿宋_GB2312" w:eastAsia="仿宋_GB2312"/>
          <w:sz w:val="28"/>
          <w:color w:val="000000"/>
        </w:rPr>
        <w:t>若维保合同内</w:t>
      </w:r>
      <w:r>
        <w:rPr>
          <w:rFonts w:ascii="仿宋_GB2312" w:hAnsi="仿宋_GB2312" w:cs="仿宋_GB2312" w:eastAsia="仿宋_GB2312"/>
          <w:sz w:val="28"/>
          <w:color w:val="000000"/>
        </w:rPr>
        <w:t>信息系统出现突发事件，如系统崩溃、数据丢失、</w:t>
      </w:r>
      <w:r>
        <w:rPr>
          <w:rFonts w:ascii="仿宋_GB2312" w:hAnsi="仿宋_GB2312" w:cs="仿宋_GB2312" w:eastAsia="仿宋_GB2312"/>
          <w:sz w:val="28"/>
          <w:color w:val="000000"/>
        </w:rPr>
        <w:t>软件层面导致的业务中断等</w:t>
      </w:r>
      <w:r>
        <w:rPr>
          <w:rFonts w:ascii="仿宋_GB2312" w:hAnsi="仿宋_GB2312" w:cs="仿宋_GB2312" w:eastAsia="仿宋_GB2312"/>
          <w:sz w:val="28"/>
          <w:color w:val="000000"/>
        </w:rPr>
        <w:t>，立即启动应急预案。通过现场排查或远程诊断，快速定位故障原因，制定维修方案，在最短时间内恢复系统正常运行，减少对医院业务的影响。</w:t>
      </w:r>
      <w:r>
        <w:rPr>
          <w:rFonts w:ascii="仿宋_GB2312" w:hAnsi="仿宋_GB2312" w:cs="仿宋_GB2312" w:eastAsia="仿宋_GB2312"/>
          <w:sz w:val="28"/>
          <w:color w:val="000000"/>
        </w:rPr>
        <w:t xml:space="preserve">  </w:t>
      </w:r>
    </w:p>
    <w:p>
      <w:pPr>
        <w:pStyle w:val="null3"/>
        <w:ind w:firstLine="560"/>
        <w:jc w:val="both"/>
      </w:pPr>
      <w:r>
        <w:rPr>
          <w:rFonts w:ascii="仿宋_GB2312" w:hAnsi="仿宋_GB2312" w:cs="仿宋_GB2312" w:eastAsia="仿宋_GB2312"/>
          <w:sz w:val="28"/>
          <w:color w:val="000000"/>
        </w:rPr>
        <w:t>1.2、软件功能完善优化：根据医院业务发展和用户反馈，对软件功能进行持续优化。例如，优化门诊挂号和收费流程，减少患者排队时间；完善住院电子病历系统，提高病历书写和管理效率；</w:t>
      </w:r>
    </w:p>
    <w:p>
      <w:pPr>
        <w:pStyle w:val="null3"/>
        <w:ind w:firstLine="560"/>
        <w:jc w:val="both"/>
      </w:pPr>
      <w:r>
        <w:rPr>
          <w:rFonts w:ascii="仿宋_GB2312" w:hAnsi="仿宋_GB2312" w:cs="仿宋_GB2312" w:eastAsia="仿宋_GB2312"/>
          <w:sz w:val="28"/>
          <w:color w:val="000000"/>
        </w:rPr>
        <w:t>1.3、软件缺陷修复：定期对软件进行漏洞扫描和安全检测，及时发现并修复软件存在的缺陷和安全漏洞，</w:t>
      </w:r>
      <w:r>
        <w:rPr>
          <w:rFonts w:ascii="仿宋_GB2312" w:hAnsi="仿宋_GB2312" w:cs="仿宋_GB2312" w:eastAsia="仿宋_GB2312"/>
          <w:sz w:val="28"/>
          <w:color w:val="000000"/>
        </w:rPr>
        <w:t>保障</w:t>
      </w:r>
      <w:r>
        <w:rPr>
          <w:rFonts w:ascii="仿宋_GB2312" w:hAnsi="仿宋_GB2312" w:cs="仿宋_GB2312" w:eastAsia="仿宋_GB2312"/>
          <w:sz w:val="28"/>
          <w:color w:val="000000"/>
        </w:rPr>
        <w:t>系统安全稳定运行。</w:t>
      </w:r>
    </w:p>
    <w:p>
      <w:pPr>
        <w:pStyle w:val="null3"/>
        <w:ind w:firstLine="560"/>
        <w:jc w:val="both"/>
      </w:pPr>
      <w:r>
        <w:rPr>
          <w:rFonts w:ascii="仿宋_GB2312" w:hAnsi="仿宋_GB2312" w:cs="仿宋_GB2312" w:eastAsia="仿宋_GB2312"/>
          <w:sz w:val="28"/>
          <w:color w:val="000000"/>
        </w:rPr>
        <w:t>1.4、数据信息维护：</w:t>
      </w:r>
      <w:r>
        <w:rPr>
          <w:rFonts w:ascii="仿宋_GB2312" w:hAnsi="仿宋_GB2312" w:cs="仿宋_GB2312" w:eastAsia="仿宋_GB2312"/>
          <w:sz w:val="28"/>
          <w:color w:val="000000"/>
        </w:rPr>
        <w:t>如因误操作、系统故障等原因导致的数据错误，需对医院的数据恢复和修复提供配合协助。</w:t>
      </w:r>
      <w:r>
        <w:rPr>
          <w:rFonts w:ascii="仿宋_GB2312" w:hAnsi="仿宋_GB2312" w:cs="仿宋_GB2312" w:eastAsia="仿宋_GB2312"/>
          <w:sz w:val="28"/>
          <w:color w:val="000000"/>
        </w:rPr>
        <w:t>对医院正常运行涉及的医保财务对账处理业务，运维方应积极做好配合。对临床科室各类医嘱、检验检查申请单、报表、表单要求设计改变的运维方应积极配合修改。</w:t>
      </w:r>
    </w:p>
    <w:p>
      <w:pPr>
        <w:pStyle w:val="null3"/>
        <w:ind w:firstLine="560"/>
        <w:jc w:val="both"/>
      </w:pPr>
      <w:r>
        <w:rPr>
          <w:rFonts w:ascii="仿宋_GB2312" w:hAnsi="仿宋_GB2312" w:cs="仿宋_GB2312" w:eastAsia="仿宋_GB2312"/>
          <w:sz w:val="28"/>
          <w:color w:val="000000"/>
        </w:rPr>
        <w:t>1.5、数据库定期清理优化：核心硬件设备服务器、存储、虚拟化软件出现问题时，需中标单位提供技术支持，若产生相关费用另行核算。定期对合同内软件系统数据库进行清理和优化，保障系统运行速度。</w:t>
      </w:r>
    </w:p>
    <w:p>
      <w:pPr>
        <w:pStyle w:val="null3"/>
        <w:ind w:firstLine="560"/>
        <w:jc w:val="both"/>
      </w:pPr>
      <w:r>
        <w:rPr>
          <w:rFonts w:ascii="仿宋_GB2312" w:hAnsi="仿宋_GB2312" w:cs="仿宋_GB2312" w:eastAsia="仿宋_GB2312"/>
          <w:sz w:val="28"/>
          <w:color w:val="000000"/>
        </w:rPr>
        <w:t>2、咨询服务</w:t>
      </w:r>
    </w:p>
    <w:p>
      <w:pPr>
        <w:pStyle w:val="null3"/>
        <w:ind w:firstLine="560"/>
        <w:jc w:val="both"/>
      </w:pPr>
      <w:r>
        <w:rPr>
          <w:rFonts w:ascii="仿宋_GB2312" w:hAnsi="仿宋_GB2312" w:cs="仿宋_GB2312" w:eastAsia="仿宋_GB2312"/>
          <w:sz w:val="28"/>
          <w:color w:val="000000"/>
        </w:rPr>
        <w:t>2.1、业务咨询：安排专业顾问团队，为医院各部门提供信息系统相关的业务咨询服务。协助医院优化业务流程，提高工作效率，如提供电子病历、临床路径、医保接口等业务咨询，</w:t>
      </w:r>
      <w:r>
        <w:rPr>
          <w:rFonts w:ascii="仿宋_GB2312" w:hAnsi="仿宋_GB2312" w:cs="仿宋_GB2312" w:eastAsia="仿宋_GB2312"/>
          <w:sz w:val="28"/>
          <w:color w:val="000000"/>
        </w:rPr>
        <w:t>保障</w:t>
      </w:r>
      <w:r>
        <w:rPr>
          <w:rFonts w:ascii="仿宋_GB2312" w:hAnsi="仿宋_GB2312" w:cs="仿宋_GB2312" w:eastAsia="仿宋_GB2312"/>
          <w:sz w:val="28"/>
          <w:color w:val="000000"/>
        </w:rPr>
        <w:t>临床业务和医保结算准确高效。</w:t>
      </w:r>
    </w:p>
    <w:p>
      <w:pPr>
        <w:pStyle w:val="null3"/>
        <w:ind w:firstLine="560"/>
        <w:jc w:val="both"/>
      </w:pPr>
      <w:r>
        <w:rPr>
          <w:rFonts w:ascii="仿宋_GB2312" w:hAnsi="仿宋_GB2312" w:cs="仿宋_GB2312" w:eastAsia="仿宋_GB2312"/>
          <w:sz w:val="28"/>
          <w:color w:val="000000"/>
        </w:rPr>
        <w:t>2.2、技术咨询：解答医院在信息系统技术方面的疑问，提供信息技术方案和建议。例如，在系统升级、硬件更换等方面提供专业方案和建议，帮助医院做出合理运营决策。</w:t>
      </w:r>
    </w:p>
    <w:p>
      <w:pPr>
        <w:pStyle w:val="null3"/>
        <w:ind w:firstLine="560"/>
        <w:jc w:val="both"/>
      </w:pPr>
      <w:r>
        <w:rPr>
          <w:rFonts w:ascii="仿宋_GB2312" w:hAnsi="仿宋_GB2312" w:cs="仿宋_GB2312" w:eastAsia="仿宋_GB2312"/>
          <w:sz w:val="28"/>
          <w:color w:val="000000"/>
        </w:rPr>
        <w:t>2.3、信息提供：及时向医院提供行业最新技术动态、政策法规变化等信息，帮助医院掌握智慧医院建设、信息化互联互通发展趋势，为医院信息化建设提供参考。</w:t>
      </w:r>
    </w:p>
    <w:p>
      <w:pPr>
        <w:pStyle w:val="null3"/>
        <w:ind w:firstLine="560"/>
        <w:jc w:val="both"/>
      </w:pPr>
      <w:r>
        <w:rPr>
          <w:rFonts w:ascii="仿宋_GB2312" w:hAnsi="仿宋_GB2312" w:cs="仿宋_GB2312" w:eastAsia="仿宋_GB2312"/>
          <w:sz w:val="28"/>
          <w:color w:val="000000"/>
        </w:rPr>
        <w:t>3、数据安全及保密</w:t>
      </w:r>
    </w:p>
    <w:p>
      <w:pPr>
        <w:pStyle w:val="null3"/>
        <w:ind w:firstLine="560"/>
        <w:jc w:val="both"/>
      </w:pPr>
      <w:r>
        <w:rPr>
          <w:rFonts w:ascii="仿宋_GB2312" w:hAnsi="仿宋_GB2312" w:cs="仿宋_GB2312" w:eastAsia="仿宋_GB2312"/>
          <w:sz w:val="28"/>
          <w:color w:val="000000"/>
        </w:rPr>
        <w:t>3.1、数据备份：</w:t>
      </w:r>
      <w:r>
        <w:rPr>
          <w:rFonts w:ascii="仿宋_GB2312" w:hAnsi="仿宋_GB2312" w:cs="仿宋_GB2312" w:eastAsia="仿宋_GB2312"/>
          <w:sz w:val="28"/>
          <w:color w:val="000000"/>
        </w:rPr>
        <w:t>协助医院</w:t>
      </w:r>
      <w:r>
        <w:rPr>
          <w:rFonts w:ascii="仿宋_GB2312" w:hAnsi="仿宋_GB2312" w:cs="仿宋_GB2312" w:eastAsia="仿宋_GB2312"/>
          <w:sz w:val="28"/>
          <w:color w:val="000000"/>
        </w:rPr>
        <w:t>制定详细的数据备份策略，每天对关键数据进行全量备份</w:t>
      </w:r>
      <w:r>
        <w:rPr>
          <w:rFonts w:ascii="仿宋_GB2312" w:hAnsi="仿宋_GB2312" w:cs="仿宋_GB2312" w:eastAsia="仿宋_GB2312"/>
          <w:sz w:val="28"/>
          <w:color w:val="000000"/>
        </w:rPr>
        <w:t>，</w:t>
      </w:r>
      <w:r>
        <w:rPr>
          <w:rFonts w:ascii="仿宋_GB2312" w:hAnsi="仿宋_GB2312" w:cs="仿宋_GB2312" w:eastAsia="仿宋_GB2312"/>
          <w:sz w:val="28"/>
          <w:color w:val="000000"/>
        </w:rPr>
        <w:t>保障</w:t>
      </w:r>
      <w:r>
        <w:rPr>
          <w:rFonts w:ascii="仿宋_GB2312" w:hAnsi="仿宋_GB2312" w:cs="仿宋_GB2312" w:eastAsia="仿宋_GB2312"/>
          <w:sz w:val="28"/>
          <w:color w:val="000000"/>
        </w:rPr>
        <w:t>数据安全。</w:t>
      </w:r>
      <w:r>
        <w:rPr>
          <w:rFonts w:ascii="仿宋_GB2312" w:hAnsi="仿宋_GB2312" w:cs="仿宋_GB2312" w:eastAsia="仿宋_GB2312"/>
          <w:sz w:val="28"/>
          <w:color w:val="000000"/>
        </w:rPr>
        <w:t>协助医院</w:t>
      </w:r>
      <w:r>
        <w:rPr>
          <w:rFonts w:ascii="仿宋_GB2312" w:hAnsi="仿宋_GB2312" w:cs="仿宋_GB2312" w:eastAsia="仿宋_GB2312"/>
          <w:sz w:val="28"/>
          <w:color w:val="000000"/>
        </w:rPr>
        <w:t>定期对备份数据进行恢复测试，</w:t>
      </w:r>
      <w:r>
        <w:rPr>
          <w:rFonts w:ascii="仿宋_GB2312" w:hAnsi="仿宋_GB2312" w:cs="仿宋_GB2312" w:eastAsia="仿宋_GB2312"/>
          <w:sz w:val="28"/>
          <w:color w:val="000000"/>
        </w:rPr>
        <w:t>保障</w:t>
      </w:r>
      <w:r>
        <w:rPr>
          <w:rFonts w:ascii="仿宋_GB2312" w:hAnsi="仿宋_GB2312" w:cs="仿宋_GB2312" w:eastAsia="仿宋_GB2312"/>
          <w:sz w:val="28"/>
          <w:color w:val="000000"/>
        </w:rPr>
        <w:t>备份数据的可用性。</w:t>
      </w:r>
    </w:p>
    <w:p>
      <w:pPr>
        <w:pStyle w:val="null3"/>
        <w:ind w:firstLine="560"/>
        <w:jc w:val="both"/>
      </w:pPr>
      <w:r>
        <w:rPr>
          <w:rFonts w:ascii="仿宋_GB2312" w:hAnsi="仿宋_GB2312" w:cs="仿宋_GB2312" w:eastAsia="仿宋_GB2312"/>
          <w:sz w:val="28"/>
          <w:color w:val="000000"/>
        </w:rPr>
        <w:t>3.2、保密措施：建立严格的数据保密制度，对涉及医院的数据和资料进行严格保密。所有维护人员均签署保密协议，未经医院许可，不得将数据带出医院或用于其他非授权用途。</w:t>
      </w:r>
    </w:p>
    <w:p>
      <w:pPr>
        <w:pStyle w:val="null3"/>
        <w:ind w:firstLine="560"/>
        <w:jc w:val="both"/>
      </w:pPr>
      <w:r>
        <w:rPr>
          <w:rFonts w:ascii="仿宋_GB2312" w:hAnsi="仿宋_GB2312" w:cs="仿宋_GB2312" w:eastAsia="仿宋_GB2312"/>
          <w:sz w:val="28"/>
          <w:color w:val="000000"/>
        </w:rPr>
        <w:t>4、指导与培训</w:t>
      </w:r>
    </w:p>
    <w:p>
      <w:pPr>
        <w:pStyle w:val="null3"/>
        <w:ind w:firstLine="560"/>
        <w:jc w:val="both"/>
      </w:pPr>
      <w:r>
        <w:rPr>
          <w:rFonts w:ascii="仿宋_GB2312" w:hAnsi="仿宋_GB2312" w:cs="仿宋_GB2312" w:eastAsia="仿宋_GB2312"/>
          <w:sz w:val="28"/>
          <w:color w:val="000000"/>
        </w:rPr>
        <w:t>4.1全院性技术培训：组织至少1次全院性技术培训，培训内容包括软件新功能介绍、系统操作规范、信息安全知识等。采用集中授课、现场演示、远程指导等方式，确保医院全体员工能够熟练掌握信息系统的基本操作。</w:t>
      </w:r>
    </w:p>
    <w:p>
      <w:pPr>
        <w:pStyle w:val="null3"/>
        <w:ind w:firstLine="560"/>
        <w:jc w:val="both"/>
      </w:pPr>
      <w:r>
        <w:rPr>
          <w:rFonts w:ascii="仿宋_GB2312" w:hAnsi="仿宋_GB2312" w:cs="仿宋_GB2312" w:eastAsia="仿宋_GB2312"/>
          <w:sz w:val="28"/>
          <w:color w:val="000000"/>
        </w:rPr>
        <w:t>4.2信息中心工作人员培训：为信息中心工作人员提供 3 次以上专业技术培训，培训内容涵盖系统管理、故障排查、数据库维护等方面，提升信息中心工作人员的技术水平和日常维护能力。</w:t>
      </w:r>
    </w:p>
    <w:p>
      <w:pPr>
        <w:pStyle w:val="null3"/>
        <w:ind w:firstLine="560"/>
        <w:jc w:val="both"/>
      </w:pPr>
      <w:r>
        <w:rPr>
          <w:rFonts w:ascii="仿宋_GB2312" w:hAnsi="仿宋_GB2312" w:cs="仿宋_GB2312" w:eastAsia="仿宋_GB2312"/>
          <w:sz w:val="28"/>
          <w:color w:val="000000"/>
        </w:rPr>
        <w:t>5、运维总结</w:t>
      </w:r>
    </w:p>
    <w:p>
      <w:pPr>
        <w:pStyle w:val="null3"/>
        <w:ind w:firstLine="560"/>
        <w:jc w:val="both"/>
      </w:pPr>
      <w:r>
        <w:rPr>
          <w:rFonts w:ascii="仿宋_GB2312" w:hAnsi="仿宋_GB2312" w:cs="仿宋_GB2312" w:eastAsia="仿宋_GB2312"/>
          <w:sz w:val="28"/>
          <w:color w:val="000000"/>
        </w:rPr>
        <w:t>5.1定期报告：每月提交运维月报，总结当月运维工作情况，包括系统运行状况、故障处理情况、优化工作进展等；每季度提交运维季报，对本季度运维工作进行全面分析和总结。</w:t>
      </w:r>
    </w:p>
    <w:p>
      <w:pPr>
        <w:pStyle w:val="null3"/>
        <w:ind w:firstLine="560"/>
        <w:jc w:val="both"/>
      </w:pPr>
      <w:r>
        <w:rPr>
          <w:rFonts w:ascii="仿宋_GB2312" w:hAnsi="仿宋_GB2312" w:cs="仿宋_GB2312" w:eastAsia="仿宋_GB2312"/>
          <w:sz w:val="28"/>
          <w:color w:val="000000"/>
        </w:rPr>
        <w:t>5.2问题分析与整改：对运维过程中出现的技术问题和服务质量问题进行深入分析，找出问题根源，提出切实可行的整改方案，并跟踪整改效果，不断提升运维服务质量。</w:t>
      </w:r>
    </w:p>
    <w:p>
      <w:pPr>
        <w:pStyle w:val="null3"/>
        <w:ind w:firstLine="560"/>
        <w:jc w:val="both"/>
      </w:pPr>
      <w:r>
        <w:rPr>
          <w:rFonts w:ascii="仿宋_GB2312" w:hAnsi="仿宋_GB2312" w:cs="仿宋_GB2312" w:eastAsia="仿宋_GB2312"/>
          <w:sz w:val="28"/>
          <w:color w:val="000000"/>
        </w:rPr>
        <w:t>维护服务形式</w:t>
      </w:r>
    </w:p>
    <w:p>
      <w:pPr>
        <w:pStyle w:val="null3"/>
        <w:ind w:firstLine="560"/>
        <w:jc w:val="both"/>
      </w:pPr>
      <w:r>
        <w:rPr>
          <w:rFonts w:ascii="仿宋_GB2312" w:hAnsi="仿宋_GB2312" w:cs="仿宋_GB2312" w:eastAsia="仿宋_GB2312"/>
          <w:sz w:val="28"/>
          <w:color w:val="000000"/>
        </w:rPr>
        <w:t>1、被动式服务</w:t>
      </w:r>
    </w:p>
    <w:p>
      <w:pPr>
        <w:pStyle w:val="null3"/>
        <w:ind w:firstLine="560"/>
        <w:jc w:val="both"/>
      </w:pPr>
      <w:r>
        <w:rPr>
          <w:rFonts w:ascii="仿宋_GB2312" w:hAnsi="仿宋_GB2312" w:cs="仿宋_GB2312" w:eastAsia="仿宋_GB2312"/>
          <w:sz w:val="28"/>
          <w:color w:val="000000"/>
        </w:rPr>
        <w:t>1.1、现场技术服务：当系统出现故障导致业务中止或医院有紧急业务需求时，在接到通知后，紧急情况下 4 小时内派工程师到达现场（不可抗力因素除外）。到达现场后，迅速与医院技术人员一起对故障进行分析，制定解决方案，并在医院同意后进行处理和排除。</w:t>
      </w:r>
    </w:p>
    <w:p>
      <w:pPr>
        <w:pStyle w:val="null3"/>
        <w:ind w:firstLine="560"/>
        <w:jc w:val="both"/>
      </w:pPr>
      <w:r>
        <w:rPr>
          <w:rFonts w:ascii="仿宋_GB2312" w:hAnsi="仿宋_GB2312" w:cs="仿宋_GB2312" w:eastAsia="仿宋_GB2312"/>
          <w:sz w:val="28"/>
          <w:color w:val="000000"/>
        </w:rPr>
        <w:t>1.2、远程维护服务：通过电话、电子邮件、传真或远程访问等方式，为医院提供远程技术支持。对于一些简单故障，通过远程指导即可解决；对于复杂问题，可通过远程访问系统进行诊断和处理，提高故障处理效率。</w:t>
      </w:r>
    </w:p>
    <w:p>
      <w:pPr>
        <w:pStyle w:val="null3"/>
        <w:ind w:firstLine="560"/>
        <w:jc w:val="both"/>
      </w:pPr>
      <w:r>
        <w:rPr>
          <w:rFonts w:ascii="仿宋_GB2312" w:hAnsi="仿宋_GB2312" w:cs="仿宋_GB2312" w:eastAsia="仿宋_GB2312"/>
          <w:sz w:val="28"/>
          <w:color w:val="000000"/>
        </w:rPr>
        <w:t>2、主动式服务</w:t>
      </w:r>
    </w:p>
    <w:p>
      <w:pPr>
        <w:pStyle w:val="null3"/>
        <w:ind w:firstLine="560"/>
        <w:jc w:val="both"/>
      </w:pPr>
      <w:r>
        <w:rPr>
          <w:rFonts w:ascii="仿宋_GB2312" w:hAnsi="仿宋_GB2312" w:cs="仿宋_GB2312" w:eastAsia="仿宋_GB2312"/>
          <w:sz w:val="28"/>
          <w:color w:val="000000"/>
        </w:rPr>
        <w:t>2.1、按月巡检：每月至少一次到达医院现场，对</w:t>
      </w:r>
      <w:r>
        <w:rPr>
          <w:rFonts w:ascii="仿宋_GB2312" w:hAnsi="仿宋_GB2312" w:cs="仿宋_GB2312" w:eastAsia="仿宋_GB2312"/>
          <w:sz w:val="28"/>
          <w:color w:val="000000"/>
        </w:rPr>
        <w:t>维保合同内软件</w:t>
      </w:r>
      <w:r>
        <w:rPr>
          <w:rFonts w:ascii="仿宋_GB2312" w:hAnsi="仿宋_GB2312" w:cs="仿宋_GB2312" w:eastAsia="仿宋_GB2312"/>
          <w:sz w:val="28"/>
          <w:color w:val="000000"/>
        </w:rPr>
        <w:t>系统进行全面检查。包括软件运行状态检查</w:t>
      </w:r>
      <w:r>
        <w:rPr>
          <w:rFonts w:ascii="仿宋_GB2312" w:hAnsi="仿宋_GB2312" w:cs="仿宋_GB2312" w:eastAsia="仿宋_GB2312"/>
          <w:sz w:val="28"/>
          <w:color w:val="000000"/>
        </w:rPr>
        <w:t>、</w:t>
      </w:r>
      <w:r>
        <w:rPr>
          <w:rFonts w:ascii="仿宋_GB2312" w:hAnsi="仿宋_GB2312" w:cs="仿宋_GB2312" w:eastAsia="仿宋_GB2312"/>
          <w:sz w:val="28"/>
          <w:color w:val="000000"/>
        </w:rPr>
        <w:t>服务器资源检查</w:t>
      </w:r>
      <w:r>
        <w:rPr>
          <w:rFonts w:ascii="仿宋_GB2312" w:hAnsi="仿宋_GB2312" w:cs="仿宋_GB2312" w:eastAsia="仿宋_GB2312"/>
          <w:sz w:val="28"/>
          <w:color w:val="000000"/>
        </w:rPr>
        <w:t>等，及时发现潜在问题并进行处理，根据检查结果，对系统进行优化，及时调整系统参数、优化数据库性能。检查时与临床科室在系统使用方面应充分沟通，对出现的问题，详细记录并及时做好技术处理等。</w:t>
      </w:r>
    </w:p>
    <w:p>
      <w:pPr>
        <w:pStyle w:val="null3"/>
        <w:ind w:firstLine="560"/>
        <w:jc w:val="both"/>
      </w:pPr>
      <w:r>
        <w:rPr>
          <w:rFonts w:ascii="仿宋_GB2312" w:hAnsi="仿宋_GB2312" w:cs="仿宋_GB2312" w:eastAsia="仿宋_GB2312"/>
          <w:sz w:val="28"/>
          <w:color w:val="000000"/>
        </w:rPr>
        <w:t>2.2主动服务：定期将行业内先进的管理理念、管理思路和新的业务模式以报告形式推荐给医院，结合医院实际情况，提出业务模式整改建议，帮助医院提升信息化管理水平。</w:t>
      </w:r>
    </w:p>
    <w:p>
      <w:pPr>
        <w:pStyle w:val="null3"/>
        <w:ind w:firstLine="560"/>
        <w:jc w:val="both"/>
      </w:pPr>
      <w:r>
        <w:rPr>
          <w:rFonts w:ascii="仿宋_GB2312" w:hAnsi="仿宋_GB2312" w:cs="仿宋_GB2312" w:eastAsia="仿宋_GB2312"/>
          <w:sz w:val="28"/>
          <w:color w:val="000000"/>
        </w:rPr>
        <w:t>具体内容详见磋商文件。</w:t>
      </w:r>
    </w:p>
    <w:p>
      <w:pPr>
        <w:pStyle w:val="null3"/>
        <w:ind w:firstLine="560"/>
        <w:jc w:val="both"/>
      </w:pPr>
      <w:r>
        <w:rPr>
          <w:rFonts w:ascii="仿宋_GB2312" w:hAnsi="仿宋_GB2312" w:cs="仿宋_GB2312" w:eastAsia="仿宋_GB2312"/>
          <w:sz w:val="28"/>
          <w:color w:val="000000"/>
        </w:rPr>
        <w:t>服务期限：</w:t>
      </w:r>
      <w:r>
        <w:rPr>
          <w:rFonts w:ascii="仿宋_GB2312" w:hAnsi="仿宋_GB2312" w:cs="仿宋_GB2312" w:eastAsia="仿宋_GB2312"/>
          <w:sz w:val="28"/>
          <w:color w:val="000000"/>
        </w:rPr>
        <w:t>2025年度信息系统维护期限12个月</w:t>
      </w:r>
    </w:p>
    <w:p>
      <w:pPr>
        <w:pStyle w:val="null3"/>
        <w:ind w:firstLine="420"/>
        <w:jc w:val="both"/>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403,700.00</w:t>
      </w:r>
    </w:p>
    <w:p>
      <w:pPr>
        <w:pStyle w:val="null3"/>
      </w:pPr>
      <w:r>
        <w:rPr>
          <w:rFonts w:ascii="仿宋_GB2312" w:hAnsi="仿宋_GB2312" w:cs="仿宋_GB2312" w:eastAsia="仿宋_GB2312"/>
        </w:rPr>
        <w:t>采购包最高限价（元）: 403,700.00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403700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403,700.00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标的名称：403700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sz w:val="20"/>
                <w:b/>
              </w:rPr>
              <w:t>服务要求</w:t>
            </w:r>
          </w:p>
          <w:p>
            <w:pPr>
              <w:pStyle w:val="null3"/>
              <w:spacing w:before="105"/>
              <w:ind w:left="90"/>
              <w:jc w:val="both"/>
            </w:pPr>
            <w:r>
              <w:rPr>
                <w:rFonts w:ascii="仿宋_GB2312" w:hAnsi="仿宋_GB2312" w:cs="仿宋_GB2312" w:eastAsia="仿宋_GB2312"/>
                <w:sz w:val="20"/>
                <w:b/>
              </w:rPr>
              <w:t>1</w:t>
            </w:r>
            <w:r>
              <w:rPr>
                <w:rFonts w:ascii="仿宋_GB2312" w:hAnsi="仿宋_GB2312" w:cs="仿宋_GB2312" w:eastAsia="仿宋_GB2312"/>
                <w:sz w:val="24"/>
              </w:rPr>
              <w:t xml:space="preserve"> </w:t>
            </w:r>
            <w:r>
              <w:rPr>
                <w:rFonts w:ascii="仿宋_GB2312" w:hAnsi="仿宋_GB2312" w:cs="仿宋_GB2312" w:eastAsia="仿宋_GB2312"/>
                <w:sz w:val="20"/>
              </w:rPr>
              <w:t>.</w:t>
            </w:r>
            <w:r>
              <w:rPr>
                <w:rFonts w:ascii="仿宋_GB2312" w:hAnsi="仿宋_GB2312" w:cs="仿宋_GB2312" w:eastAsia="仿宋_GB2312"/>
                <w:sz w:val="20"/>
                <w:b/>
              </w:rPr>
              <w:t>医星自主产品维护服务（</w:t>
            </w:r>
            <w:r>
              <w:rPr>
                <w:rFonts w:ascii="仿宋_GB2312" w:hAnsi="仿宋_GB2312" w:cs="仿宋_GB2312" w:eastAsia="仿宋_GB2312"/>
                <w:sz w:val="20"/>
                <w:b/>
              </w:rPr>
              <w:t>29</w:t>
            </w:r>
            <w:r>
              <w:rPr>
                <w:rFonts w:ascii="仿宋_GB2312" w:hAnsi="仿宋_GB2312" w:cs="仿宋_GB2312" w:eastAsia="仿宋_GB2312"/>
                <w:sz w:val="24"/>
              </w:rPr>
              <w:t xml:space="preserve"> </w:t>
            </w:r>
            <w:r>
              <w:rPr>
                <w:rFonts w:ascii="仿宋_GB2312" w:hAnsi="仿宋_GB2312" w:cs="仿宋_GB2312" w:eastAsia="仿宋_GB2312"/>
                <w:sz w:val="20"/>
                <w:b/>
              </w:rPr>
              <w:t>个模块）</w:t>
            </w:r>
          </w:p>
          <w:tbl>
            <w:tblPr>
              <w:tblInd w:type="dxa" w:w="105"/>
              <w:tblBorders>
                <w:top w:val="none" w:color="000000" w:sz="4"/>
                <w:left w:val="none" w:color="000000" w:sz="4"/>
                <w:bottom w:val="none" w:color="000000" w:sz="4"/>
                <w:right w:val="none" w:color="000000" w:sz="4"/>
                <w:insideH w:val="none"/>
                <w:insideV w:val="none"/>
              </w:tblBorders>
            </w:tblPr>
            <w:tblGrid>
              <w:gridCol w:w="1820"/>
              <w:gridCol w:w="394"/>
              <w:gridCol w:w="333"/>
            </w:tblGrid>
            <w:tr>
              <w:tc>
                <w:tcPr>
                  <w:tcW w:type="dxa" w:w="18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815"/>
                    <w:jc w:val="both"/>
                  </w:pPr>
                  <w:r>
                    <w:rPr>
                      <w:rFonts w:ascii="仿宋_GB2312" w:hAnsi="仿宋_GB2312" w:cs="仿宋_GB2312" w:eastAsia="仿宋_GB2312"/>
                      <w:sz w:val="20"/>
                      <w:b/>
                    </w:rPr>
                    <w:t>服务内容</w:t>
                  </w:r>
                </w:p>
              </w:tc>
              <w:tc>
                <w:tcPr>
                  <w:tcW w:type="dxa" w:w="3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35"/>
                    <w:jc w:val="both"/>
                  </w:pPr>
                  <w:r>
                    <w:rPr>
                      <w:rFonts w:ascii="仿宋_GB2312" w:hAnsi="仿宋_GB2312" w:cs="仿宋_GB2312" w:eastAsia="仿宋_GB2312"/>
                      <w:sz w:val="20"/>
                      <w:b/>
                    </w:rPr>
                    <w:t>单位</w:t>
                  </w:r>
                </w:p>
              </w:tc>
              <w:tc>
                <w:tcPr>
                  <w:tcW w:type="dxa" w:w="3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35"/>
                    <w:jc w:val="both"/>
                  </w:pPr>
                  <w:r>
                    <w:rPr>
                      <w:rFonts w:ascii="仿宋_GB2312" w:hAnsi="仿宋_GB2312" w:cs="仿宋_GB2312" w:eastAsia="仿宋_GB2312"/>
                      <w:sz w:val="20"/>
                      <w:b/>
                    </w:rPr>
                    <w:t>数量</w:t>
                  </w:r>
                </w:p>
              </w:tc>
            </w:tr>
            <w:tr>
              <w:tc>
                <w:tcPr>
                  <w:tcW w:type="dxa" w:w="1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both"/>
                  </w:pPr>
                  <w:r>
                    <w:rPr>
                      <w:rFonts w:ascii="仿宋_GB2312" w:hAnsi="仿宋_GB2312" w:cs="仿宋_GB2312" w:eastAsia="仿宋_GB2312"/>
                      <w:sz w:val="20"/>
                    </w:rPr>
                    <w:t>门诊挂号管理系统</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jc w:val="both"/>
                  </w:pPr>
                  <w:r>
                    <w:rPr>
                      <w:rFonts w:ascii="仿宋_GB2312" w:hAnsi="仿宋_GB2312" w:cs="仿宋_GB2312" w:eastAsia="仿宋_GB2312"/>
                      <w:sz w:val="20"/>
                    </w:rPr>
                    <w:t>个</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jc w:val="both"/>
                  </w:pPr>
                  <w:r>
                    <w:rPr>
                      <w:rFonts w:ascii="仿宋_GB2312" w:hAnsi="仿宋_GB2312" w:cs="仿宋_GB2312" w:eastAsia="仿宋_GB2312"/>
                      <w:sz w:val="20"/>
                    </w:rPr>
                    <w:t>1</w:t>
                  </w:r>
                </w:p>
              </w:tc>
            </w:tr>
            <w:tr>
              <w:tc>
                <w:tcPr>
                  <w:tcW w:type="dxa" w:w="1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pPr>
                  <w:r>
                    <w:rPr>
                      <w:rFonts w:ascii="仿宋_GB2312" w:hAnsi="仿宋_GB2312" w:cs="仿宋_GB2312" w:eastAsia="仿宋_GB2312"/>
                      <w:sz w:val="20"/>
                    </w:rPr>
                    <w:t>门诊收费管理系统</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20"/>
                    </w:rPr>
                    <w:t>个</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0"/>
                    </w:rPr>
                    <w:t>1</w:t>
                  </w:r>
                </w:p>
              </w:tc>
            </w:tr>
            <w:tr>
              <w:tc>
                <w:tcPr>
                  <w:tcW w:type="dxa" w:w="1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5"/>
                  </w:pPr>
                  <w:r>
                    <w:rPr>
                      <w:rFonts w:ascii="仿宋_GB2312" w:hAnsi="仿宋_GB2312" w:cs="仿宋_GB2312" w:eastAsia="仿宋_GB2312"/>
                      <w:sz w:val="20"/>
                    </w:rPr>
                    <w:t>住院信息管理系统</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20"/>
                    </w:rPr>
                    <w:t>个</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0"/>
                    </w:rPr>
                    <w:t>1</w:t>
                  </w:r>
                </w:p>
              </w:tc>
            </w:tr>
            <w:tr>
              <w:tc>
                <w:tcPr>
                  <w:tcW w:type="dxa" w:w="1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pPr>
                  <w:r>
                    <w:rPr>
                      <w:rFonts w:ascii="仿宋_GB2312" w:hAnsi="仿宋_GB2312" w:cs="仿宋_GB2312" w:eastAsia="仿宋_GB2312"/>
                      <w:sz w:val="20"/>
                    </w:rPr>
                    <w:t>门诊医生工作站（含电子病历）</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20"/>
                    </w:rPr>
                    <w:t>个</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0"/>
                    </w:rPr>
                    <w:t>1</w:t>
                  </w:r>
                </w:p>
              </w:tc>
            </w:tr>
            <w:tr>
              <w:tc>
                <w:tcPr>
                  <w:tcW w:type="dxa" w:w="1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5"/>
                  </w:pPr>
                  <w:r>
                    <w:rPr>
                      <w:rFonts w:ascii="仿宋_GB2312" w:hAnsi="仿宋_GB2312" w:cs="仿宋_GB2312" w:eastAsia="仿宋_GB2312"/>
                      <w:sz w:val="20"/>
                    </w:rPr>
                    <w:t>住院医生工作站系统（含电子病历）</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20"/>
                    </w:rPr>
                    <w:t>个</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0"/>
                    </w:rPr>
                    <w:t>1</w:t>
                  </w:r>
                </w:p>
              </w:tc>
            </w:tr>
            <w:tr>
              <w:tc>
                <w:tcPr>
                  <w:tcW w:type="dxa" w:w="18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5"/>
                  </w:pPr>
                  <w:r>
                    <w:rPr>
                      <w:rFonts w:ascii="仿宋_GB2312" w:hAnsi="仿宋_GB2312" w:cs="仿宋_GB2312" w:eastAsia="仿宋_GB2312"/>
                      <w:sz w:val="20"/>
                      <w:b/>
                    </w:rPr>
                    <w:t>其他模块</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20"/>
                    </w:rPr>
                    <w:t>个</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20"/>
                    </w:rPr>
                    <w:t>24</w:t>
                  </w:r>
                </w:p>
              </w:tc>
            </w:tr>
          </w:tbl>
          <w:p>
            <w:pPr>
              <w:pStyle w:val="null3"/>
              <w:spacing w:before="120"/>
              <w:ind w:left="255"/>
              <w:jc w:val="both"/>
            </w:pPr>
            <w:r>
              <w:rPr>
                <w:rFonts w:ascii="仿宋_GB2312" w:hAnsi="仿宋_GB2312" w:cs="仿宋_GB2312" w:eastAsia="仿宋_GB2312"/>
                <w:sz w:val="20"/>
                <w:b/>
              </w:rPr>
              <w:t>2.第三方专业系统及其他维护服务</w:t>
            </w:r>
          </w:p>
          <w:tbl>
            <w:tblPr>
              <w:tblInd w:type="dxa" w:w="105"/>
              <w:tblBorders>
                <w:top w:val="none" w:color="000000" w:sz="4"/>
                <w:left w:val="none" w:color="000000" w:sz="4"/>
                <w:bottom w:val="none" w:color="000000" w:sz="4"/>
                <w:right w:val="none" w:color="000000" w:sz="4"/>
                <w:insideH w:val="none"/>
                <w:insideV w:val="none"/>
              </w:tblBorders>
            </w:tblPr>
            <w:tblGrid>
              <w:gridCol w:w="1110"/>
              <w:gridCol w:w="1065"/>
              <w:gridCol w:w="366"/>
            </w:tblGrid>
            <w:tr>
              <w:tc>
                <w:tcPr>
                  <w:tcW w:type="dxa" w:w="11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915"/>
                  </w:pPr>
                  <w:r>
                    <w:rPr>
                      <w:rFonts w:ascii="仿宋_GB2312" w:hAnsi="仿宋_GB2312" w:cs="仿宋_GB2312" w:eastAsia="仿宋_GB2312"/>
                      <w:sz w:val="20"/>
                      <w:b/>
                    </w:rPr>
                    <w:t>服务内容</w:t>
                  </w:r>
                </w:p>
              </w:tc>
              <w:tc>
                <w:tcPr>
                  <w:tcW w:type="dxa" w:w="10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050"/>
                  </w:pPr>
                  <w:r>
                    <w:rPr>
                      <w:rFonts w:ascii="仿宋_GB2312" w:hAnsi="仿宋_GB2312" w:cs="仿宋_GB2312" w:eastAsia="仿宋_GB2312"/>
                      <w:sz w:val="20"/>
                      <w:b/>
                    </w:rPr>
                    <w:t>公司名称</w:t>
                  </w:r>
                </w:p>
              </w:tc>
              <w:tc>
                <w:tcPr>
                  <w:tcW w:type="dxa" w:w="3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50"/>
                  </w:pPr>
                  <w:r>
                    <w:rPr>
                      <w:rFonts w:ascii="仿宋_GB2312" w:hAnsi="仿宋_GB2312" w:cs="仿宋_GB2312" w:eastAsia="仿宋_GB2312"/>
                      <w:sz w:val="20"/>
                      <w:b/>
                    </w:rPr>
                    <w:t>单位</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5"/>
                  </w:pPr>
                  <w:r>
                    <w:rPr>
                      <w:rFonts w:ascii="仿宋_GB2312" w:hAnsi="仿宋_GB2312" w:cs="仿宋_GB2312" w:eastAsia="仿宋_GB2312"/>
                      <w:sz w:val="20"/>
                    </w:rPr>
                    <w:t>医保移动支付系统</w:t>
                  </w:r>
                </w:p>
              </w:tc>
              <w:tc>
                <w:tcPr>
                  <w:tcW w:type="dxa" w:w="106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240"/>
                    <w:ind w:left="90"/>
                  </w:pPr>
                  <w:r>
                    <w:rPr>
                      <w:rFonts w:ascii="仿宋_GB2312" w:hAnsi="仿宋_GB2312" w:cs="仿宋_GB2312" w:eastAsia="仿宋_GB2312"/>
                      <w:sz w:val="20"/>
                    </w:rPr>
                    <w:t>成都成电医星智慧医疗软件有限公司</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0"/>
                    </w:rPr>
                    <w:t>个</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0"/>
                    </w:rPr>
                    <w:t>自助报告打印系统</w:t>
                  </w:r>
                </w:p>
              </w:tc>
              <w:tc>
                <w:tcPr>
                  <w:tcW w:type="dxa" w:w="1065"/>
                  <w:vMerge/>
                  <w:tcBorders>
                    <w:top w:val="none" w:color="000000" w:sz="4"/>
                    <w:left w:val="single" w:color="000000" w:sz="4"/>
                    <w:bottom w:val="none" w:color="000000" w:sz="4"/>
                    <w:right w:val="single" w:color="000000" w:sz="4"/>
                  </w:tcBorders>
                </w:tcP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0"/>
                    </w:rPr>
                    <w:t>个</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5"/>
                  </w:pPr>
                  <w:r>
                    <w:rPr>
                      <w:rFonts w:ascii="仿宋_GB2312" w:hAnsi="仿宋_GB2312" w:cs="仿宋_GB2312" w:eastAsia="仿宋_GB2312"/>
                      <w:sz w:val="20"/>
                    </w:rPr>
                    <w:t>健康体检信息管理系统</w:t>
                  </w:r>
                </w:p>
              </w:tc>
              <w:tc>
                <w:tcPr>
                  <w:tcW w:type="dxa" w:w="1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pPr>
                  <w:r>
                    <w:rPr>
                      <w:rFonts w:ascii="仿宋_GB2312" w:hAnsi="仿宋_GB2312" w:cs="仿宋_GB2312" w:eastAsia="仿宋_GB2312"/>
                      <w:sz w:val="20"/>
                    </w:rPr>
                    <w:t>成都珍琅科技有限公司</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70"/>
                  </w:pPr>
                  <w:r>
                    <w:rPr>
                      <w:rFonts w:ascii="仿宋_GB2312" w:hAnsi="仿宋_GB2312" w:cs="仿宋_GB2312" w:eastAsia="仿宋_GB2312"/>
                      <w:sz w:val="20"/>
                    </w:rPr>
                    <w:t>个</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right"/>
                  </w:pPr>
                  <w:r>
                    <w:rPr>
                      <w:rFonts w:ascii="仿宋_GB2312" w:hAnsi="仿宋_GB2312" w:cs="仿宋_GB2312" w:eastAsia="仿宋_GB2312"/>
                      <w:sz w:val="20"/>
                    </w:rPr>
                    <w:t>医学影像管理系统（</w:t>
                  </w:r>
                  <w:r>
                    <w:rPr>
                      <w:rFonts w:ascii="仿宋_GB2312" w:hAnsi="仿宋_GB2312" w:cs="仿宋_GB2312" w:eastAsia="仿宋_GB2312"/>
                      <w:sz w:val="20"/>
                    </w:rPr>
                    <w:t>PACS）</w:t>
                  </w:r>
                </w:p>
              </w:tc>
              <w:tc>
                <w:tcPr>
                  <w:tcW w:type="dxa" w:w="1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pPr>
                  <w:r>
                    <w:rPr>
                      <w:rFonts w:ascii="仿宋_GB2312" w:hAnsi="仿宋_GB2312" w:cs="仿宋_GB2312" w:eastAsia="仿宋_GB2312"/>
                      <w:sz w:val="20"/>
                    </w:rPr>
                    <w:t>北京伟业前程科技有限公司</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0"/>
                    </w:rPr>
                    <w:t>个</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医院感染监控管理系统</w:t>
                  </w:r>
                </w:p>
              </w:tc>
              <w:tc>
                <w:tcPr>
                  <w:tcW w:type="dxa" w:w="1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pPr>
                  <w:r>
                    <w:rPr>
                      <w:rFonts w:ascii="仿宋_GB2312" w:hAnsi="仿宋_GB2312" w:cs="仿宋_GB2312" w:eastAsia="仿宋_GB2312"/>
                      <w:sz w:val="20"/>
                    </w:rPr>
                    <w:t>成都小丑鱼网络信息技术有限公司</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个</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智慧医院接口</w:t>
                  </w:r>
                </w:p>
              </w:tc>
              <w:tc>
                <w:tcPr>
                  <w:tcW w:type="dxa" w:w="1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pPr>
                  <w:r>
                    <w:rPr>
                      <w:rFonts w:ascii="仿宋_GB2312" w:hAnsi="仿宋_GB2312" w:cs="仿宋_GB2312" w:eastAsia="仿宋_GB2312"/>
                      <w:sz w:val="20"/>
                    </w:rPr>
                    <w:t>成都成电医星智慧医疗软件有限公司</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个</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5"/>
                  </w:pPr>
                  <w:r>
                    <w:rPr>
                      <w:rFonts w:ascii="仿宋_GB2312" w:hAnsi="仿宋_GB2312" w:cs="仿宋_GB2312" w:eastAsia="仿宋_GB2312"/>
                      <w:sz w:val="20"/>
                    </w:rPr>
                    <w:t>数字化手麻管理系统</w:t>
                  </w:r>
                </w:p>
              </w:tc>
              <w:tc>
                <w:tcPr>
                  <w:tcW w:type="dxa" w:w="1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pPr>
                  <w:r>
                    <w:rPr>
                      <w:rFonts w:ascii="仿宋_GB2312" w:hAnsi="仿宋_GB2312" w:cs="仿宋_GB2312" w:eastAsia="仿宋_GB2312"/>
                      <w:sz w:val="20"/>
                    </w:rPr>
                    <w:t>郑州大成软件科技有限公司</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0"/>
                    </w:rPr>
                    <w:t>个</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合理用药监测系统</w:t>
                  </w:r>
                  <w:r>
                    <w:rPr>
                      <w:rFonts w:ascii="仿宋_GB2312" w:hAnsi="仿宋_GB2312" w:cs="仿宋_GB2312" w:eastAsia="仿宋_GB2312"/>
                      <w:sz w:val="20"/>
                    </w:rPr>
                    <w:t>V4.3</w:t>
                  </w:r>
                </w:p>
              </w:tc>
              <w:tc>
                <w:tcPr>
                  <w:tcW w:type="dxa" w:w="1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left"/>
                  </w:pPr>
                  <w:r>
                    <w:rPr>
                      <w:rFonts w:ascii="仿宋_GB2312" w:hAnsi="仿宋_GB2312" w:cs="仿宋_GB2312" w:eastAsia="仿宋_GB2312"/>
                      <w:sz w:val="20"/>
                    </w:rPr>
                    <w:t>四川美康医药软件研究开发股份有限公司</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个</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电子发票接口</w:t>
                  </w:r>
                </w:p>
              </w:tc>
              <w:tc>
                <w:tcPr>
                  <w:tcW w:type="dxa" w:w="1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pPr>
                  <w:r>
                    <w:rPr>
                      <w:rFonts w:ascii="仿宋_GB2312" w:hAnsi="仿宋_GB2312" w:cs="仿宋_GB2312" w:eastAsia="仿宋_GB2312"/>
                      <w:sz w:val="20"/>
                    </w:rPr>
                    <w:t>成都成电医星智慧医疗软件有限公司</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个</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安全等级保护软件部分</w:t>
                  </w:r>
                </w:p>
              </w:tc>
              <w:tc>
                <w:tcPr>
                  <w:tcW w:type="dxa" w:w="1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right="75" w:firstLine="78"/>
                    <w:jc w:val="left"/>
                  </w:pPr>
                  <w:r>
                    <w:rPr>
                      <w:rFonts w:ascii="仿宋_GB2312" w:hAnsi="仿宋_GB2312" w:cs="仿宋_GB2312" w:eastAsia="仿宋_GB2312"/>
                      <w:sz w:val="20"/>
                    </w:rPr>
                    <w:t>奇安信科技集团股份有限公司、新华三技术有限公司</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个</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根据磋商文件{评分标准}要求及合同约定执行。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根据磋商文件{评分标准}要求及合同约定执行。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根据磋商文件{评分标准}要求及合同约定执行。例如：业绩</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 年度信息系统维护期限12个月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根据磋商文件要求及合同约定执行，符合国家或行业相关标准。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如遇紧急情况，供应商需3小时内派工程师到达采购人指定地点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（1）财政部、工业和信息化部关于印发《政府采购促进中小企业发展管理办法》的通知-财库〔2020〕46号 （2）关于进一步加大政府采购支持中小企业力度的通知-财库〔2022〕19号 （3）财政部司法部关于政府采购支持监狱企业发展有关问题的通知-财库〔2014〕68号 （4）财政部民政部中国残疾人联合会关于促进残疾人就业政府采购政策的通知-财库〔2017〕141号 （5）财政部国家发展和改革委员会关于印发《节能产品政府采购实施意见》的通知-财库〔2004〕185号 （6）财政部发展改革委关于印发节能产品政府采购品目清单的通知 -财库〔20 19〕19号 （7）财政部、国家环保总局联合印发《关于环境标志产品政府采购实施的意见》-财库〔2006〕90号 （8）财政部发展改革委生态环境部市场监管总局关于调整优化节能产品、环境 标志产品政府采购执行机制的通知-财库〔2019〕9号 （9）财政部生态环境部关于印发环境标志产品政府采购品目清单的通知-财库〔2019〕18号 （10）财政部 农业农村部 国家乡村振兴局关于运用政府采购政策支持乡村产业振兴的通知-财库〔2021〕19号 （11）财政部、农业农村部、国家乡村振兴局、中华全国供销合作总社关于印 发《关于深入开展政府采购脱贫地区农副产品工作推进乡村产业振兴的实施意见》的通知-财库〔2021〕20号 （12）陕西省财政厅关于落实政府采购支持中小企业政策有关事项的通知-陕财 办采函〔2022〕10号 （13）陕西省财政厅关于进一步加强政府绿色采购有关问题的通知-陕财办采〔 2021〕29号（14）陕西省财政厅关于印发《陕西省中小企业政府采购信用融资办法》-陕财办采〔2018〕23号 （15）陕西省财政厅关于加快推进我省中小企业政府采购信用融资工作的通知- 陕财办采〔2020〕15号 （16）陕西省财政厅中国人民银行西安分行关于深入推进政府采购信用融资业务的通知-陕财办采〔2023〕5号 （17）如有最新颁布的政府采购政策，按最新的文件执行。</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法定代表人身份证明书.docx 供应商应提交的相关资格证明材料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投标人未被“信用中国”网站（ 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单位负责人为同一人或者存在直接控股、管理关系的不同供应商，不得参与同一合同项下的政府采购活动；为本项目提供整体设计、规范编制或者项目管理、监理、检测等服务的供应商，不得参加本项目磋商</w:t>
            </w:r>
          </w:p>
        </w:tc>
        <w:tc>
          <w:tcPr>
            <w:tcW w:type="dxa" w:w="1661"/>
          </w:tcPr>
          <w:p>
            <w:pPr>
              <w:pStyle w:val="null3"/>
            </w:pPr>
            <w:r>
              <w:rPr>
                <w:rFonts w:ascii="仿宋_GB2312" w:hAnsi="仿宋_GB2312" w:cs="仿宋_GB2312" w:eastAsia="仿宋_GB2312"/>
              </w:rPr>
              <w:t>控股关系.docx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具有履行合同所必需的设备和专业技术能力.docx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参加本次政府采购活动前三年内在经营活动中没有重大违纪</w:t>
            </w:r>
          </w:p>
        </w:tc>
        <w:tc>
          <w:tcPr>
            <w:tcW w:type="dxa" w:w="3322"/>
          </w:tcPr>
          <w:p>
            <w:pPr>
              <w:pStyle w:val="null3"/>
            </w:pPr>
            <w:r>
              <w:rPr>
                <w:rFonts w:ascii="仿宋_GB2312" w:hAnsi="仿宋_GB2312" w:cs="仿宋_GB2312" w:eastAsia="仿宋_GB2312"/>
              </w:rPr>
              <w:t>提供参加本次政府采购活动前三年内在经营活动中没有重大违纪书面声明</w:t>
            </w:r>
          </w:p>
        </w:tc>
        <w:tc>
          <w:tcPr>
            <w:tcW w:type="dxa" w:w="1661"/>
          </w:tcPr>
          <w:p>
            <w:pPr>
              <w:pStyle w:val="null3"/>
            </w:pPr>
            <w:r>
              <w:rPr>
                <w:rFonts w:ascii="仿宋_GB2312" w:hAnsi="仿宋_GB2312" w:cs="仿宋_GB2312" w:eastAsia="仿宋_GB2312"/>
              </w:rPr>
              <w:t>参加政府采购活动前三年内，在经营活动中没有重大违法记录.docx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提供相关承诺书，格式自拟</w:t>
            </w:r>
          </w:p>
        </w:tc>
        <w:tc>
          <w:tcPr>
            <w:tcW w:type="dxa" w:w="1661"/>
          </w:tcPr>
          <w:p>
            <w:pPr>
              <w:pStyle w:val="null3"/>
            </w:pPr>
            <w:r>
              <w:rPr>
                <w:rFonts w:ascii="仿宋_GB2312" w:hAnsi="仿宋_GB2312" w:cs="仿宋_GB2312" w:eastAsia="仿宋_GB2312"/>
              </w:rPr>
              <w:t>供应商应提交的相关资格证明材料 供应商拒绝政府采购领域商业贿赂承诺书.docx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提供非联合体投标承诺</w:t>
            </w:r>
          </w:p>
        </w:tc>
        <w:tc>
          <w:tcPr>
            <w:tcW w:type="dxa" w:w="1661"/>
          </w:tcPr>
          <w:p>
            <w:pPr>
              <w:pStyle w:val="null3"/>
            </w:pPr>
            <w:r>
              <w:rPr>
                <w:rFonts w:ascii="仿宋_GB2312" w:hAnsi="仿宋_GB2312" w:cs="仿宋_GB2312" w:eastAsia="仿宋_GB2312"/>
              </w:rPr>
              <w:t>非联合体承诺.docx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保证措施及承诺</w:t>
            </w:r>
          </w:p>
        </w:tc>
        <w:tc>
          <w:tcPr>
            <w:tcW w:type="dxa" w:w="2492"/>
          </w:tcPr>
          <w:p>
            <w:pPr>
              <w:pStyle w:val="null3"/>
            </w:pPr>
            <w:r>
              <w:rPr>
                <w:rFonts w:ascii="仿宋_GB2312" w:hAnsi="仿宋_GB2312" w:cs="仿宋_GB2312" w:eastAsia="仿宋_GB2312"/>
              </w:rPr>
              <w:t>针对本项目的服务质量、造价控制、服务进度等方面的质量保证措施及承诺。 1、思路清晰、内容全面、保证措施及相应承诺详细，完全符合本次采购需求，计 12分； 2、思路、内容较完整，保证措施及相应承诺较详细，基本符合本次采购需求，计8分； 3、思路有偏差、保证措施及相应承诺简单，计4分； 4、思路有较大偏差、保证措施及相应承诺空泛，计1分； 5、未提供的不计分。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拟投入本项目的工具、设备配置</w:t>
            </w:r>
          </w:p>
        </w:tc>
        <w:tc>
          <w:tcPr>
            <w:tcW w:type="dxa" w:w="2492"/>
          </w:tcPr>
          <w:p>
            <w:pPr>
              <w:pStyle w:val="null3"/>
            </w:pPr>
            <w:r>
              <w:rPr>
                <w:rFonts w:ascii="仿宋_GB2312" w:hAnsi="仿宋_GB2312" w:cs="仿宋_GB2312" w:eastAsia="仿宋_GB2312"/>
              </w:rPr>
              <w:t>拟投入本项目的工具、设备配置的数量及种类齐全、合理。 1、工具、设备配置的数量及种类齐全、合理，满足采购人需求，计5分； 2、工具、设备配置的数量及种类较齐全、合理，基本满足采购人需求，计3分； 3、工具、设备配置的数量不齐全、种类简单，计1分；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1、方案完善、切实可行，计8分； 2、方案较完善、可行度较高，计6分； 3、方案简单，可行性不足，计3分。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供应商对本项目背景、服务内容、目标需求理解全面，分析到位；对本项目服务实施阶段的重点难点进行分析并提出解决思路。 1、理解全面、重点难点分析完整、解决思路合理，计8分； 2、理解较全面、重点难点分析较完整、解决思路基本合理，计6分； 3、理解不全面、重点难点分析不到位、解决思路不合理，计3分；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供应商针对本项目有完善的实施方案。 1、实施方案内容完善详实、相关措施科学合理、可行性强，计12分； 2、实施方案内容较完善、相关措施基本合理可行，计8分； 3、实施方案内容不缺项，但简单笼统，合理性可行性一般，计4分； 4、整体服务方案内容缺1项，已提供内容基本合理可行，计1分； 5、未提供的不计分。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1、拟派项目负责人具备相关专业高级及以上技术职称（含高级技术职称）的计5分，具备中级技术职称的计3分，其它情况不计分。 注：以拟派项目负责人相关证书及开标前6个月内供应商为其缴纳社保的证明材料为准，未提供或提供不全不计分。 拟派项目负责人具有2022年11月1日至今类似服务项目业绩（以合同签订时间为准），每提供一份有效业绩计1分，最高计5分。 注：拟派项目负责人业绩证明材料以合同（合同中须体现拟派项目负责人的姓名或其相关信息内容）复印件或扫描件并加盖供应商公章为准，合同主体须为供应商本企业。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拟派服务团队专业服务人员配备齐全并提供相关证明材料(包括但不限于人员履历、相关资格证书、相关经验)，要求配备人员数量充足、岗位明确、管理构架合理，相关证明材料完整齐全得10分；基本完整得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提供实施过程中可能遇见的重难点，并提供解决方案。（5分） 1、能够提出本项目实施过程中可能遇见的重点、难点，并提供针对性的措施及解决方案计5分； 2、能够提出本项目实施过程中可能遇见的重点、难点，未提供针对性的措施及解决方案或措施及解决方案不合理计2分；未提供不计分。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提供供应商2022年11月1日至今类似服务项目业绩（以合同签订时间为准），每提供一份有效业绩计2分，最高计10分。若提供虚假业绩，一经发现，按无效文件处理。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详见附件：参加政府采购活动前三年内，在经营活动中没有重大违法记录.docx</w:t>
      </w:r>
    </w:p>
    <w:p>
      <w:pPr>
        <w:pStyle w:val="null3"/>
        <w:ind w:firstLine="960"/>
      </w:pPr>
      <w:r>
        <w:rPr>
          <w:rFonts w:ascii="仿宋_GB2312" w:hAnsi="仿宋_GB2312" w:cs="仿宋_GB2312" w:eastAsia="仿宋_GB2312"/>
        </w:rPr>
        <w:t>详见附件：非联合体承诺.docx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详见附件：控股关系.docx</w:t>
      </w:r>
    </w:p>
    <w:p>
      <w:pPr>
        <w:pStyle w:val="null3"/>
        <w:ind w:firstLine="960"/>
      </w:pPr>
      <w:r>
        <w:rPr>
          <w:rFonts w:ascii="仿宋_GB2312" w:hAnsi="仿宋_GB2312" w:cs="仿宋_GB2312" w:eastAsia="仿宋_GB2312"/>
        </w:rPr>
        <w:t>详见附件：具有履行合同所必需的设备和专业技术能力.docx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