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版本号：CZBXA2503720251103001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商洛市政策性农业保险财政监管平台建设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CZBXA25037</w:t>
      </w:r>
      <w:r>
        <w:br/>
      </w:r>
      <w:r>
        <w:br/>
      </w:r>
      <w:r>
        <w:br/>
      </w:r>
    </w:p>
    <w:p>
      <w:pPr>
        <w:pStyle w:val="null3"/>
        <w:jc w:val="center"/>
        <w:outlineLvl w:val="2"/>
      </w:pPr>
      <w:r>
        <w:rPr>
          <w:rFonts w:ascii="仿宋_GB2312" w:hAnsi="仿宋_GB2312" w:cs="仿宋_GB2312" w:eastAsia="仿宋_GB2312"/>
          <w:sz w:val="28"/>
          <w:b/>
        </w:rPr>
        <w:t>商洛市财政局</w:t>
      </w:r>
    </w:p>
    <w:p>
      <w:pPr>
        <w:pStyle w:val="null3"/>
        <w:jc w:val="center"/>
        <w:outlineLvl w:val="2"/>
      </w:pPr>
      <w:r>
        <w:rPr>
          <w:rFonts w:ascii="仿宋_GB2312" w:hAnsi="仿宋_GB2312" w:cs="仿宋_GB2312" w:eastAsia="仿宋_GB2312"/>
          <w:sz w:val="28"/>
          <w:b/>
        </w:rPr>
        <w:t>华诚博远工程咨询有限公司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华诚博远工程咨询有限公司</w:t>
      </w:r>
      <w:r>
        <w:rPr>
          <w:rFonts w:ascii="仿宋_GB2312" w:hAnsi="仿宋_GB2312" w:cs="仿宋_GB2312" w:eastAsia="仿宋_GB2312"/>
        </w:rPr>
        <w:t>（以下简称“代理机构”）受</w:t>
      </w:r>
      <w:r>
        <w:rPr>
          <w:rFonts w:ascii="仿宋_GB2312" w:hAnsi="仿宋_GB2312" w:cs="仿宋_GB2312" w:eastAsia="仿宋_GB2312"/>
        </w:rPr>
        <w:t>商洛市财政局</w:t>
      </w:r>
      <w:r>
        <w:rPr>
          <w:rFonts w:ascii="仿宋_GB2312" w:hAnsi="仿宋_GB2312" w:cs="仿宋_GB2312" w:eastAsia="仿宋_GB2312"/>
        </w:rPr>
        <w:t>委托，拟对</w:t>
      </w:r>
      <w:r>
        <w:rPr>
          <w:rFonts w:ascii="仿宋_GB2312" w:hAnsi="仿宋_GB2312" w:cs="仿宋_GB2312" w:eastAsia="仿宋_GB2312"/>
        </w:rPr>
        <w:t>商洛市政策性农业保险财政监管平台建设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CZBXA25037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商洛市政策性农业保险财政监管平台建设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认真贯彻落实《中共中央国务院关于学习运用“千村示范、万村整治”工程经验有力有效推进乡村全面振兴的意见》有关要求，服务国家乡村振兴战略，推进农业保险精准投保理赔，促进农业保险高质量发展，金融监管总局、财政部、农业农村部、国家林草局四部委联合发文《关于推进农业保险精准投保理赔等有关事项的通知》，明确了农业保险高质量发展的总体要求、主要目标和重点措施，强调了农业保险在服务乡村振兴战略、保障国家粮食安全等方面的重要作用。该指导意见为平台建设指明了方向，要求通过数字化手段提升农业保险的运营效率和监管水平，确保农业保险政策的有效实施。 通过数字化平台建设，实现了对政策性农业保险业务的全流程监管。从政策性农业保险承保到理赔支付，每一个环节的数据都能被准确记录和实时监控，使得财政部门和监管部门能够及时掌握业务动态，发现并处理潜在问题，有效提高监管效率和精准度。 借助大数据分析和人工智能技术，平台能够对政策性农业保险业务进行风险评估和预警。通过对历史数据和实时数据的分析，识别高风险区域和高风险业务，及时采取防范措施。同时有效防止保险欺诈行为，保障了财政补贴资金的安全。 财政部门可以根据平台提供的数据分析报告，合理分配补贴资金，优化政策制定。</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采购包1（商洛市政策性农业保险财政监管平台建设）：属于专门面向中小企业采购。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授权书被授权人身份证：法定代表人直接参加投标的，须提供法定代表人身份证明(附法人身份证复印件，法人身份证原件备查）；法定代表人授权代表参加投标的，须提供法定代表人授权委托书(附法人及被授权人身份证复印件）</w:t>
      </w:r>
    </w:p>
    <w:p>
      <w:pPr>
        <w:pStyle w:val="null3"/>
      </w:pPr>
      <w:r>
        <w:rPr>
          <w:rFonts w:ascii="仿宋_GB2312" w:hAnsi="仿宋_GB2312" w:cs="仿宋_GB2312" w:eastAsia="仿宋_GB2312"/>
        </w:rPr>
        <w:t>3、财务状况报告：提供具有财务审计资质单位出具的2023年度或2024年度财务报告（成立时间至开标时间不足一年的可提供成立后任意时段的资产负债表）或开标前六个月内其基本账户银行出具的资信证明</w:t>
      </w:r>
    </w:p>
    <w:p>
      <w:pPr>
        <w:pStyle w:val="null3"/>
      </w:pPr>
      <w:r>
        <w:rPr>
          <w:rFonts w:ascii="仿宋_GB2312" w:hAnsi="仿宋_GB2312" w:cs="仿宋_GB2312" w:eastAsia="仿宋_GB2312"/>
        </w:rPr>
        <w:t>4、税收缴纳证明：提供截止至开标时间前一年内任意一个月的缴费凭据；（依法免税的供应商应提供相关文件证明）</w:t>
      </w:r>
    </w:p>
    <w:p>
      <w:pPr>
        <w:pStyle w:val="null3"/>
      </w:pPr>
      <w:r>
        <w:rPr>
          <w:rFonts w:ascii="仿宋_GB2312" w:hAnsi="仿宋_GB2312" w:cs="仿宋_GB2312" w:eastAsia="仿宋_GB2312"/>
        </w:rPr>
        <w:t>5、社会保障资金缴纳证明：提供截止至开标时间前一年内任意一个月的社保缴费凭据或社保机构开具的社会保险参保缴费情况证明；（依法不需要缴纳社会保障资金的供应商应提供相关证明）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6、履行合同所必需的设备和专业技术能力：提供具有履行本合同所必需的设备和专业技术能力的说明及承诺；（提供书面说明及承诺，加盖供应商电子章）</w:t>
      </w:r>
    </w:p>
    <w:p>
      <w:pPr>
        <w:pStyle w:val="null3"/>
      </w:pPr>
      <w:r>
        <w:rPr>
          <w:rFonts w:ascii="仿宋_GB2312" w:hAnsi="仿宋_GB2312" w:cs="仿宋_GB2312" w:eastAsia="仿宋_GB2312"/>
        </w:rPr>
        <w:t>7、前三年无重大违法记录声明：提供参加政府采购活动前三年内在经营活动中没有重大违法记录的书面声明。（提供书面声明，加盖供应商电子章）</w:t>
      </w:r>
    </w:p>
    <w:p>
      <w:pPr>
        <w:pStyle w:val="null3"/>
      </w:pPr>
      <w:r>
        <w:rPr>
          <w:rFonts w:ascii="仿宋_GB2312" w:hAnsi="仿宋_GB2312" w:cs="仿宋_GB2312" w:eastAsia="仿宋_GB2312"/>
        </w:rPr>
        <w:t>8、企业资质：供应商须具备国家测绘行政主管部门颁发的乙级及以上测绘资质（专业需包含：摄影测量与遥感）</w:t>
      </w:r>
    </w:p>
    <w:p>
      <w:pPr>
        <w:pStyle w:val="null3"/>
      </w:pPr>
      <w:r>
        <w:rPr>
          <w:rFonts w:ascii="仿宋_GB2312" w:hAnsi="仿宋_GB2312" w:cs="仿宋_GB2312" w:eastAsia="仿宋_GB2312"/>
        </w:rPr>
        <w:t>9、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现场系统查验）</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10、控股关系：单位负责人为同一人或者存在直接控股、管理关系的不同供应商，不得参加同一合同项下的政府采购活动（提供书面声明，加盖供应商电子章）</w:t>
      </w:r>
    </w:p>
    <w:p>
      <w:pPr>
        <w:pStyle w:val="null3"/>
      </w:pPr>
      <w:r>
        <w:rPr>
          <w:rFonts w:ascii="仿宋_GB2312" w:hAnsi="仿宋_GB2312" w:cs="仿宋_GB2312" w:eastAsia="仿宋_GB2312"/>
        </w:rPr>
        <w:t>11、是否接受联合体投标：本合同包不接受联合体投标，提供非联合体投标声明。供应商需在项目电子化交易系统中按要求上传相应证明文件并进行电子签章。</w:t>
      </w:r>
    </w:p>
    <w:p>
      <w:pPr>
        <w:pStyle w:val="null3"/>
      </w:pPr>
      <w:r>
        <w:rPr>
          <w:rFonts w:ascii="仿宋_GB2312" w:hAnsi="仿宋_GB2312" w:cs="仿宋_GB2312" w:eastAsia="仿宋_GB2312"/>
        </w:rPr>
        <w:t>12、中小企业：本合同包为专门面向中小企业采购（提供中小企业声明函或监狱企业的证明文件或残疾人福利性单位声明函）。供应商需在项目电子化交易系统中按要求上传相应证明文件并进行电子签章。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商洛市商州区工农路12号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13891402450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华诚博远工程咨询有限公司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西安市凤城二十路明丰国际22层2205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杨航波、雷龙博、苏亮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029-86674688-8016/13201506178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采购包1：3,455,710.72元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价为基数，参照国家计委颁布《招标代理服务收费管理暂行办法》（计价格[2002]1980号）和国家发展改革委员会办公厅颁发的《关于招标代理服务收费有关问题的通知》（发改办价格[2003]857号）文件规定的标准计取，由中标（成交）方在领取中标（成交）通知书前向代理机构支付。 采购代理服务费缴纳账户： 开户名称：华诚博远工程咨询有限公司 开户银行：中国农业银行股份有限公司北京骡马市支行 账 号：11170101040007437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商洛市财政局</w:t>
      </w:r>
      <w:r>
        <w:rPr>
          <w:rFonts w:ascii="仿宋_GB2312" w:hAnsi="仿宋_GB2312" w:cs="仿宋_GB2312" w:eastAsia="仿宋_GB2312"/>
        </w:rPr>
        <w:t>和</w:t>
      </w:r>
      <w:r>
        <w:rPr>
          <w:rFonts w:ascii="仿宋_GB2312" w:hAnsi="仿宋_GB2312" w:cs="仿宋_GB2312" w:eastAsia="仿宋_GB2312"/>
        </w:rPr>
        <w:t>华诚博远工程咨询有限公司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商洛市财政局</w:t>
      </w:r>
      <w:r>
        <w:rPr>
          <w:rFonts w:ascii="仿宋_GB2312" w:hAnsi="仿宋_GB2312" w:cs="仿宋_GB2312" w:eastAsia="仿宋_GB2312"/>
        </w:rPr>
        <w:t>负责解释。除上述招标文件内容，其他内容由</w:t>
      </w:r>
      <w:r>
        <w:rPr>
          <w:rFonts w:ascii="仿宋_GB2312" w:hAnsi="仿宋_GB2312" w:cs="仿宋_GB2312" w:eastAsia="仿宋_GB2312"/>
        </w:rPr>
        <w:t>华诚博远工程咨询有限公司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华诚博远工程咨询有限公司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华诚博远工程咨询有限公司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华诚博远工程咨询有限公司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华诚博远工程咨询有限公司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联系人：苏亮</w:t>
      </w:r>
    </w:p>
    <w:p>
      <w:pPr>
        <w:pStyle w:val="null3"/>
      </w:pPr>
      <w:r>
        <w:rPr>
          <w:rFonts w:ascii="仿宋_GB2312" w:hAnsi="仿宋_GB2312" w:cs="仿宋_GB2312" w:eastAsia="仿宋_GB2312"/>
        </w:rPr>
        <w:t>联系电话：029-82489007</w:t>
      </w:r>
    </w:p>
    <w:p>
      <w:pPr>
        <w:pStyle w:val="null3"/>
      </w:pPr>
      <w:r>
        <w:rPr>
          <w:rFonts w:ascii="仿宋_GB2312" w:hAnsi="仿宋_GB2312" w:cs="仿宋_GB2312" w:eastAsia="仿宋_GB2312"/>
        </w:rPr>
        <w:t>地址：西安市未央区凤城七路59号明丰国际22层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为认真贯彻落实《中共中央 国务院关于学习运用“千村示范、万村整治”工程经验有力有效推进乡村全面振兴的意见》有关要求，服务国家乡村振兴战略，推进农业保险精准投保理赔，促进农业保险高质量发展，金融监管总局、财政部、农业农村部、国家林草局四部委联合发文《关于推进农业保险精准投保理赔等有关事项的通知》，明确了农业保险高质量发展的总体要求、主要目标和重点措施，强调了农业保险在服务乡村振兴战略、保障国家粮食安全等方面的重要作用。该指导意见为平台建设指明了方向，要求通过数字化手段提升农业保险的运营效率和监管水平，确保农业保险政策的有效实施。 通过数字化平台建设，实现了对政策性农业保险业务的全流程监管。从政策性农业保险承保到理赔支付，每一个环节的数据都能被准确记录和实时监控，使得财政部门和监管部门能够及时掌握业务动态，发现并处理潜在问题，有效提高监管效率和精准度。 借助大数据分析和人工智能技术，平台能够对政策性农业保险业务进行风险评估和预警。通过对历史数据和实时数据的分析，识别高风险区域和高风险业务，及时采取防范措施。同时有效防止保险欺诈行为，保障了财政补贴资金的安全。 财政部门可以根据平台提供的数据分析报告，合理分配补贴资金，优化政策制定。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3,455,710.72</w:t>
      </w:r>
    </w:p>
    <w:p>
      <w:pPr>
        <w:pStyle w:val="null3"/>
      </w:pPr>
      <w:r>
        <w:rPr>
          <w:rFonts w:ascii="仿宋_GB2312" w:hAnsi="仿宋_GB2312" w:cs="仿宋_GB2312" w:eastAsia="仿宋_GB2312"/>
        </w:rPr>
        <w:t>采购包最高限价（元）: 3,455,710.72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农业保险财政监管平台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3,455,710.72</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标的名称：农业保险财政监管平台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firstLine="420"/>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为认真贯彻落实《中共中央</w:t>
            </w:r>
            <w:r>
              <w:rPr>
                <w:rFonts w:ascii="仿宋_GB2312" w:hAnsi="仿宋_GB2312" w:cs="仿宋_GB2312" w:eastAsia="仿宋_GB2312"/>
                <w:sz w:val="21"/>
              </w:rPr>
              <w:t>国务院关于学习运用</w:t>
            </w:r>
            <w:r>
              <w:rPr>
                <w:rFonts w:ascii="仿宋_GB2312" w:hAnsi="仿宋_GB2312" w:cs="仿宋_GB2312" w:eastAsia="仿宋_GB2312"/>
                <w:sz w:val="21"/>
              </w:rPr>
              <w:t>“千村示范、万村整治”工程经验有力有效推进乡村全面振兴的意见》有关要求，服务国家乡村振兴战略，推进农业保险精准投保理赔，促进农业保险高质量发展，金融监管总局、财政部、农业农村部、国家林草局四部委联合发文《关于推进农业保险精准投保理赔等有关事项的通知》，明确了农业保险高质量发展的总体要求、主要目标和重点措施，强调了农业保险在服务乡村振兴战略、保障国家粮食安全等方面的重要作用。该指导意见为平台建设指明了方向，要求通过数字化手段提升农业保险的运营效率和监管水平，确保农业保险政策的有效实施。</w:t>
            </w:r>
          </w:p>
          <w:p>
            <w:pPr>
              <w:pStyle w:val="null3"/>
              <w:ind w:firstLine="420"/>
              <w:jc w:val="both"/>
            </w:pPr>
            <w:r>
              <w:rPr>
                <w:rFonts w:ascii="仿宋_GB2312" w:hAnsi="仿宋_GB2312" w:cs="仿宋_GB2312" w:eastAsia="仿宋_GB2312"/>
                <w:sz w:val="21"/>
              </w:rPr>
              <w:t>通过数字化平台建设，实现了对政策性农业保险业务的全流程监管。从政策性农业保险承保到理赔支付，每一个环节的数据都能被准确记录和实时监控，使得财政部门和监管部门能够及时掌握业务动态，发现并处理潜在问题，有效提高监管效率和精准度。</w:t>
            </w:r>
          </w:p>
          <w:p>
            <w:pPr>
              <w:pStyle w:val="null3"/>
              <w:ind w:firstLine="420"/>
              <w:jc w:val="both"/>
            </w:pPr>
            <w:r>
              <w:rPr>
                <w:rFonts w:ascii="仿宋_GB2312" w:hAnsi="仿宋_GB2312" w:cs="仿宋_GB2312" w:eastAsia="仿宋_GB2312"/>
                <w:sz w:val="21"/>
              </w:rPr>
              <w:t>借助大数据分析和人工智能技术，平台能够对政策性农业保险业务进行风险评估和预警。通过对历史数据和实时数据的分析，识别高风险区域和高风险业务，及时采取防范措施。同时有效防止保险欺诈行为，保障了财政补贴资金的安全。</w:t>
            </w:r>
          </w:p>
          <w:p>
            <w:pPr>
              <w:pStyle w:val="null3"/>
              <w:ind w:firstLine="420"/>
              <w:jc w:val="both"/>
            </w:pPr>
            <w:r>
              <w:rPr>
                <w:rFonts w:ascii="仿宋_GB2312" w:hAnsi="仿宋_GB2312" w:cs="仿宋_GB2312" w:eastAsia="仿宋_GB2312"/>
                <w:sz w:val="21"/>
              </w:rPr>
              <w:t>财政部门可以根据平台提供的数据分析报告，合理分配补贴资金，优化政策制定。</w:t>
            </w:r>
          </w:p>
          <w:p>
            <w:pPr>
              <w:pStyle w:val="null3"/>
              <w:spacing w:before="315"/>
              <w:ind w:firstLine="420"/>
              <w:jc w:val="both"/>
            </w:pPr>
            <w:r>
              <w:rPr>
                <w:rFonts w:ascii="仿宋_GB2312" w:hAnsi="仿宋_GB2312" w:cs="仿宋_GB2312" w:eastAsia="仿宋_GB2312"/>
                <w:sz w:val="21"/>
                <w:b/>
              </w:rPr>
              <w:t>二、服务内容（包括工作区域、工作内容等）</w:t>
            </w:r>
          </w:p>
          <w:p>
            <w:pPr>
              <w:pStyle w:val="null3"/>
              <w:ind w:firstLine="417"/>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服务类型：硬件建设、系统建设、系统运维、数据采集及分析</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服务</w:t>
            </w:r>
            <w:r>
              <w:rPr>
                <w:rFonts w:ascii="仿宋_GB2312" w:hAnsi="仿宋_GB2312" w:cs="仿宋_GB2312" w:eastAsia="仿宋_GB2312"/>
                <w:sz w:val="21"/>
              </w:rPr>
              <w:t>内容</w:t>
            </w:r>
            <w:r>
              <w:rPr>
                <w:rFonts w:ascii="仿宋_GB2312" w:hAnsi="仿宋_GB2312" w:cs="仿宋_GB2312" w:eastAsia="仿宋_GB2312"/>
                <w:sz w:val="21"/>
              </w:rPr>
              <w:t>：</w:t>
            </w:r>
            <w:r>
              <w:rPr>
                <w:rFonts w:ascii="仿宋_GB2312" w:hAnsi="仿宋_GB2312" w:cs="仿宋_GB2312" w:eastAsia="仿宋_GB2312"/>
                <w:sz w:val="21"/>
              </w:rPr>
              <w:t>包含硬件建设、</w:t>
            </w:r>
            <w:r>
              <w:rPr>
                <w:rFonts w:ascii="仿宋_GB2312" w:hAnsi="仿宋_GB2312" w:cs="仿宋_GB2312" w:eastAsia="仿宋_GB2312"/>
                <w:sz w:val="21"/>
              </w:rPr>
              <w:t>系统平台建设、系统平台运维、政策性农险承保标的数据采集及分析</w:t>
            </w:r>
            <w:r>
              <w:rPr>
                <w:rFonts w:ascii="仿宋_GB2312" w:hAnsi="仿宋_GB2312" w:cs="仿宋_GB2312" w:eastAsia="仿宋_GB2312"/>
                <w:sz w:val="21"/>
              </w:rPr>
              <w:t>等内容。</w:t>
            </w:r>
          </w:p>
          <w:p>
            <w:pPr>
              <w:pStyle w:val="null3"/>
              <w:ind w:firstLine="420"/>
              <w:jc w:val="both"/>
            </w:pPr>
            <w:r>
              <w:rPr>
                <w:rFonts w:ascii="仿宋_GB2312" w:hAnsi="仿宋_GB2312" w:cs="仿宋_GB2312" w:eastAsia="仿宋_GB2312"/>
                <w:sz w:val="21"/>
              </w:rPr>
              <w:t>硬件建设：主要包含可视化大屏建设。</w:t>
            </w:r>
          </w:p>
          <w:p>
            <w:pPr>
              <w:pStyle w:val="null3"/>
              <w:ind w:firstLine="420"/>
              <w:jc w:val="both"/>
            </w:pPr>
            <w:r>
              <w:rPr>
                <w:rFonts w:ascii="仿宋_GB2312" w:hAnsi="仿宋_GB2312" w:cs="仿宋_GB2312" w:eastAsia="仿宋_GB2312"/>
                <w:sz w:val="21"/>
              </w:rPr>
              <w:t>系统平台建设：主要包含数据中心（数据导入、验证、加密、存储、更新、备份、恢复等）、基础服务（用户管理、权限管理、日志管理、消息通知等）、财政监管服务（承保数据管理、</w:t>
            </w:r>
            <w:r>
              <w:rPr>
                <w:rFonts w:ascii="仿宋_GB2312" w:hAnsi="仿宋_GB2312" w:cs="仿宋_GB2312" w:eastAsia="仿宋_GB2312"/>
                <w:sz w:val="21"/>
              </w:rPr>
              <w:t>AI</w:t>
            </w:r>
            <w:r>
              <w:rPr>
                <w:rFonts w:ascii="仿宋_GB2312" w:hAnsi="仿宋_GB2312" w:cs="仿宋_GB2312" w:eastAsia="仿宋_GB2312"/>
                <w:sz w:val="21"/>
              </w:rPr>
              <w:t>大数据审核、政府审批、补贴结算及报表等）、</w:t>
            </w:r>
            <w:r>
              <w:rPr>
                <w:rFonts w:ascii="仿宋_GB2312" w:hAnsi="仿宋_GB2312" w:cs="仿宋_GB2312" w:eastAsia="仿宋_GB2312"/>
                <w:sz w:val="21"/>
              </w:rPr>
              <w:t>GIS</w:t>
            </w:r>
            <w:r>
              <w:rPr>
                <w:rFonts w:ascii="仿宋_GB2312" w:hAnsi="仿宋_GB2312" w:cs="仿宋_GB2312" w:eastAsia="仿宋_GB2312"/>
                <w:sz w:val="21"/>
              </w:rPr>
              <w:t>服务（二维静态地图服务、地图操作、地标管理、图层管理、元数据管理等）、数据驾驶舱（空间数据分析展示、多图层叠加展示、关键指标可视化、多维度数据分析等）等。</w:t>
            </w:r>
          </w:p>
          <w:p>
            <w:pPr>
              <w:pStyle w:val="null3"/>
              <w:ind w:firstLine="420"/>
              <w:jc w:val="both"/>
            </w:pPr>
            <w:r>
              <w:rPr>
                <w:rFonts w:ascii="仿宋_GB2312" w:hAnsi="仿宋_GB2312" w:cs="仿宋_GB2312" w:eastAsia="仿宋_GB2312"/>
                <w:sz w:val="21"/>
              </w:rPr>
              <w:t>系统平台运维：主要包含系统日常巡检维护、影像切图、影像上传、数据更新、数据管理维护、故障修复、系统安全及防病毒等。</w:t>
            </w:r>
          </w:p>
          <w:p>
            <w:pPr>
              <w:pStyle w:val="null3"/>
              <w:ind w:firstLine="420"/>
              <w:jc w:val="both"/>
            </w:pPr>
            <w:r>
              <w:rPr>
                <w:rFonts w:ascii="仿宋_GB2312" w:hAnsi="仿宋_GB2312" w:cs="仿宋_GB2312" w:eastAsia="仿宋_GB2312"/>
                <w:sz w:val="21"/>
              </w:rPr>
              <w:t>政策性农险承保标的数据采集及分析：主要包含无人机测绘、卫星遥感数据获取、数据处理及分析、成果编制及应用等。</w:t>
            </w:r>
          </w:p>
          <w:p>
            <w:pPr>
              <w:pStyle w:val="null3"/>
              <w:ind w:firstLine="417"/>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服务</w:t>
            </w:r>
            <w:r>
              <w:rPr>
                <w:rFonts w:ascii="仿宋_GB2312" w:hAnsi="仿宋_GB2312" w:cs="仿宋_GB2312" w:eastAsia="仿宋_GB2312"/>
                <w:sz w:val="21"/>
              </w:rPr>
              <w:t>范围：</w:t>
            </w:r>
            <w:r>
              <w:rPr>
                <w:rFonts w:ascii="仿宋_GB2312" w:hAnsi="仿宋_GB2312" w:cs="仿宋_GB2312" w:eastAsia="仿宋_GB2312"/>
                <w:sz w:val="21"/>
              </w:rPr>
              <w:t>商洛市全市政策性农险补贴及承保范围</w:t>
            </w:r>
          </w:p>
          <w:p>
            <w:pPr>
              <w:pStyle w:val="null3"/>
              <w:spacing w:before="315"/>
              <w:ind w:firstLine="420"/>
              <w:jc w:val="both"/>
            </w:pPr>
            <w:r>
              <w:rPr>
                <w:rFonts w:ascii="仿宋_GB2312" w:hAnsi="仿宋_GB2312" w:cs="仿宋_GB2312" w:eastAsia="仿宋_GB2312"/>
                <w:sz w:val="21"/>
                <w:b/>
              </w:rPr>
              <w:t>三、</w:t>
            </w:r>
            <w:r>
              <w:rPr>
                <w:rFonts w:ascii="仿宋_GB2312" w:hAnsi="仿宋_GB2312" w:cs="仿宋_GB2312" w:eastAsia="仿宋_GB2312"/>
                <w:sz w:val="21"/>
                <w:b/>
              </w:rPr>
              <w:t>服务</w:t>
            </w:r>
            <w:r>
              <w:rPr>
                <w:rFonts w:ascii="仿宋_GB2312" w:hAnsi="仿宋_GB2312" w:cs="仿宋_GB2312" w:eastAsia="仿宋_GB2312"/>
                <w:sz w:val="21"/>
                <w:b/>
              </w:rPr>
              <w:t>要求</w:t>
            </w:r>
          </w:p>
          <w:tbl>
            <w:tblPr>
              <w:tblBorders>
                <w:top w:val="none" w:color="000000" w:sz="4"/>
                <w:left w:val="none" w:color="000000" w:sz="4"/>
                <w:bottom w:val="none" w:color="000000" w:sz="4"/>
                <w:right w:val="none" w:color="000000" w:sz="4"/>
                <w:insideH w:val="none"/>
                <w:insideV w:val="none"/>
              </w:tblBorders>
            </w:tblPr>
            <w:tblGrid>
              <w:gridCol w:w="289"/>
              <w:gridCol w:w="503"/>
              <w:gridCol w:w="1260"/>
              <w:gridCol w:w="285"/>
              <w:gridCol w:w="205"/>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4"/>
                      <w:color w:val="000000"/>
                    </w:rPr>
                    <w:t>可视化大屏建设工程量及技术要求</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0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服务名称</w:t>
                  </w:r>
                </w:p>
              </w:tc>
              <w:tc>
                <w:tcPr>
                  <w:tcW w:type="dxa" w:w="12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服务描述</w:t>
                  </w:r>
                </w:p>
              </w:tc>
              <w:tc>
                <w:tcPr>
                  <w:tcW w:type="dxa" w:w="28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r>
            <w:tr>
              <w:tc>
                <w:tcPr>
                  <w:tcW w:type="dxa" w:w="289"/>
                  <w:vMerge/>
                  <w:tcBorders>
                    <w:top w:val="none" w:color="000000" w:sz="4"/>
                    <w:left w:val="single" w:color="000000" w:sz="4"/>
                    <w:bottom w:val="single" w:color="000000" w:sz="4"/>
                    <w:right w:val="single" w:color="000000" w:sz="4"/>
                  </w:tcBorders>
                </w:tcPr>
                <w:p/>
              </w:tc>
              <w:tc>
                <w:tcPr>
                  <w:tcW w:type="dxa" w:w="503"/>
                  <w:vMerge/>
                  <w:tcBorders>
                    <w:top w:val="single" w:color="000000" w:sz="4"/>
                    <w:left w:val="single" w:color="000000" w:sz="4"/>
                    <w:bottom w:val="single" w:color="000000" w:sz="4"/>
                    <w:right w:val="single" w:color="000000" w:sz="4"/>
                  </w:tcBorders>
                </w:tcPr>
                <w:p/>
              </w:tc>
              <w:tc>
                <w:tcPr>
                  <w:tcW w:type="dxa" w:w="1260"/>
                  <w:vMerge/>
                  <w:tcBorders>
                    <w:top w:val="single" w:color="000000" w:sz="4"/>
                    <w:left w:val="single" w:color="000000" w:sz="4"/>
                    <w:bottom w:val="single" w:color="000000" w:sz="4"/>
                    <w:right w:val="single" w:color="000000" w:sz="4"/>
                  </w:tcBorders>
                </w:tcPr>
                <w:p/>
              </w:tc>
              <w:tc>
                <w:tcPr>
                  <w:tcW w:type="dxa" w:w="285"/>
                  <w:vMerge/>
                  <w:tcBorders>
                    <w:top w:val="single" w:color="000000" w:sz="4"/>
                    <w:left w:val="single" w:color="000000" w:sz="4"/>
                    <w:bottom w:val="single" w:color="000000" w:sz="4"/>
                    <w:right w:val="single" w:color="000000" w:sz="4"/>
                  </w:tcBorders>
                </w:tcPr>
                <w:p/>
              </w:tc>
              <w:tc>
                <w:tcPr>
                  <w:tcW w:type="dxa" w:w="205"/>
                  <w:vMerge/>
                  <w:tcBorders>
                    <w:top w:val="single" w:color="000000" w:sz="4"/>
                    <w:left w:val="single" w:color="000000" w:sz="4"/>
                    <w:bottom w:val="single" w:color="000000" w:sz="4"/>
                    <w:right w:val="single" w:color="000000" w:sz="4"/>
                  </w:tcBorders>
                </w:tcPr>
                <w:p/>
              </w:tc>
            </w:tr>
            <w:tr>
              <w:tc>
                <w:tcPr>
                  <w:tcW w:type="dxa" w:w="7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显示屏屏体</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1.86UM室内外全彩</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1.显示屏尺寸：8.1m*2.34m，点间距：≤1.86mm；</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.对比度：按SJ/T11141-20175.10.7规定，在正常工作状态下，同一幅图像的最亮区与最暗区的亮度比或照度比≥10000：1</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.加强设备绝缘，依据GB4943.1-2022信息技术设备安全标准进行机械强度试验，绝缘穿透距离≥0.4mm，外部爬电距离＞7mm；</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.平均使用寿命：≥100000hrs；平均无故障时间：≥100000hrs</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.水平/垂直视角：≥175°/175°,色度均匀性：±0.001CxCy之内；</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.色温：0-21000K可调，色温为6500K时，100%，75%，50%，25%四档电平白场调节色温误差≤100K；</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.依据SJ/T11141-2017LED显示屏图像质量主观评价方法检测，主观评价为优；</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.刷新率：≥3840Hz；</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17.92</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视频拼接器</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1、纯硬件设计架构，19英寸标准机架式安装，金属结构机箱；</w:t>
                  </w:r>
                  <w:r>
                    <w:br/>
                  </w:r>
                  <w:r>
                    <w:rPr>
                      <w:rFonts w:ascii="仿宋_GB2312" w:hAnsi="仿宋_GB2312" w:cs="仿宋_GB2312" w:eastAsia="仿宋_GB2312"/>
                      <w:sz w:val="20"/>
                      <w:color w:val="000000"/>
                    </w:rPr>
                    <w:t>2、整机规模支持输入不少于28路接口，输出不少于16路接口，输入接口支持单链路和双链路输入模式切换；</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、系统需具备良好的兼容性，拼接器配置软件至少需支持</w:t>
                  </w:r>
                  <w:r>
                    <w:rPr>
                      <w:rFonts w:ascii="仿宋_GB2312" w:hAnsi="仿宋_GB2312" w:cs="仿宋_GB2312" w:eastAsia="仿宋_GB2312"/>
                      <w:sz w:val="20"/>
                      <w:color w:val="000000"/>
                    </w:rPr>
                    <w:t>windows、麟麟、IOS、Android、Linux等操作系统访问设备及交互操作；</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视频处理器</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1、支持常见的视频接口，包括1路DVI，2路HDMI1.4，1路3G-SDI+LOOP；（可根据实际需求选配）</w:t>
                  </w:r>
                  <w:r>
                    <w:br/>
                  </w:r>
                  <w:r>
                    <w:rPr>
                      <w:rFonts w:ascii="仿宋_GB2312" w:hAnsi="仿宋_GB2312" w:cs="仿宋_GB2312" w:eastAsia="仿宋_GB2312"/>
                      <w:sz w:val="20"/>
                      <w:color w:val="000000"/>
                    </w:rPr>
                    <w:t>2、支持不少于3个窗口和1路OSD同时显示；</w:t>
                  </w:r>
                  <w:r>
                    <w:br/>
                  </w:r>
                  <w:r>
                    <w:rPr>
                      <w:rFonts w:ascii="仿宋_GB2312" w:hAnsi="仿宋_GB2312" w:cs="仿宋_GB2312" w:eastAsia="仿宋_GB2312"/>
                      <w:sz w:val="20"/>
                      <w:color w:val="000000"/>
                    </w:rPr>
                    <w:t>3、支持快捷配屏和高级配屏功能，脱离电脑也能实现快速配屏；</w:t>
                  </w:r>
                  <w:r>
                    <w:br/>
                  </w:r>
                  <w:r>
                    <w:rPr>
                      <w:rFonts w:ascii="仿宋_GB2312" w:hAnsi="仿宋_GB2312" w:cs="仿宋_GB2312" w:eastAsia="仿宋_GB2312"/>
                      <w:sz w:val="20"/>
                      <w:color w:val="000000"/>
                    </w:rPr>
                    <w:t>4、支持HDMI、DVI输入分辨率自定义调节，支持选择HDMI源或DVI源作为同步信号，达到输出的场级同步；</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、集成视频处理和发送卡功能，简化系统链路，提高系统的稳定性及兼容性。</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LED专用开关电源</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输入电压范围</w:t>
                  </w:r>
                  <w:r>
                    <w:rPr>
                      <w:rFonts w:ascii="仿宋_GB2312" w:hAnsi="仿宋_GB2312" w:cs="仿宋_GB2312" w:eastAsia="仿宋_GB2312"/>
                      <w:sz w:val="20"/>
                      <w:color w:val="000000"/>
                    </w:rPr>
                    <w:t>176~264VAC，输入电流230VAC/2.5A；效率≥85%，频率范围47～63HZ；漏电流&lt;3.5mA/240VAC浪涌电流，冷启动60A/230VAC输出直流电压4.5V；额定电流40A；功率：180W；电压调节范围：纹波及噪声170mVp-p；启动上升时间：2500ms，50ms/230VAC负载100%；保持时间：10ms/230VAC负载100%；线性调整率：±0.5%负载调整率：±1.0%，电压精度：±3.0%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加长排线</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加长专业排线（</w:t>
                  </w:r>
                  <w:r>
                    <w:rPr>
                      <w:rFonts w:ascii="仿宋_GB2312" w:hAnsi="仿宋_GB2312" w:cs="仿宋_GB2312" w:eastAsia="仿宋_GB2312"/>
                      <w:sz w:val="20"/>
                      <w:color w:val="000000"/>
                    </w:rPr>
                    <w:t>45CM-1.2M16P接口）</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220V成品电源线</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专业成品电源线（</w:t>
                  </w:r>
                  <w:r>
                    <w:rPr>
                      <w:rFonts w:ascii="仿宋_GB2312" w:hAnsi="仿宋_GB2312" w:cs="仿宋_GB2312" w:eastAsia="仿宋_GB2312"/>
                      <w:sz w:val="20"/>
                      <w:color w:val="000000"/>
                    </w:rPr>
                    <w:t>45CM-1.2M 3*2.5标准护套线）</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成品网线</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超六类成品网线</w:t>
                  </w:r>
                  <w:r>
                    <w:rPr>
                      <w:rFonts w:ascii="仿宋_GB2312" w:hAnsi="仿宋_GB2312" w:cs="仿宋_GB2312" w:eastAsia="仿宋_GB2312"/>
                      <w:sz w:val="20"/>
                      <w:color w:val="000000"/>
                    </w:rPr>
                    <w:t>（标准成品</w:t>
                  </w:r>
                  <w:r>
                    <w:rPr>
                      <w:rFonts w:ascii="仿宋_GB2312" w:hAnsi="仿宋_GB2312" w:cs="仿宋_GB2312" w:eastAsia="仿宋_GB2312"/>
                      <w:sz w:val="20"/>
                      <w:color w:val="000000"/>
                    </w:rPr>
                    <w:t>1M网线）</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磁铁</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专用显示屏磁铁（</w:t>
                  </w:r>
                  <w:r>
                    <w:rPr>
                      <w:rFonts w:ascii="仿宋_GB2312" w:hAnsi="仿宋_GB2312" w:cs="仿宋_GB2312" w:eastAsia="仿宋_GB2312"/>
                      <w:sz w:val="20"/>
                      <w:color w:val="000000"/>
                    </w:rPr>
                    <w:t>M14标准强磁)</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5V电源线</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专业显示屏</w:t>
                  </w:r>
                  <w:r>
                    <w:rPr>
                      <w:rFonts w:ascii="仿宋_GB2312" w:hAnsi="仿宋_GB2312" w:cs="仿宋_GB2312" w:eastAsia="仿宋_GB2312"/>
                      <w:sz w:val="20"/>
                      <w:color w:val="000000"/>
                    </w:rPr>
                    <w:t>5V电源线（1托2标准成品电源线）</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标准排线</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专业标准排线（</w:t>
                  </w:r>
                  <w:r>
                    <w:rPr>
                      <w:rFonts w:ascii="仿宋_GB2312" w:hAnsi="仿宋_GB2312" w:cs="仿宋_GB2312" w:eastAsia="仿宋_GB2312"/>
                      <w:sz w:val="20"/>
                      <w:color w:val="000000"/>
                    </w:rPr>
                    <w:t>45C-85CM成品16P排线）</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备用板</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7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显示屏系统配套</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专用配置台式电脑</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组装定制机（</w:t>
                  </w:r>
                  <w:r>
                    <w:rPr>
                      <w:rFonts w:ascii="仿宋_GB2312" w:hAnsi="仿宋_GB2312" w:cs="仿宋_GB2312" w:eastAsia="仿宋_GB2312"/>
                      <w:sz w:val="20"/>
                      <w:color w:val="000000"/>
                    </w:rPr>
                    <w:t>I5处理器独立显卡国产机）</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控制软件</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系统操作平台</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设备电源</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RVV5*10平方电源线</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网线超六类</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超六类控制网线</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无线控制器</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专业手机</w:t>
                  </w:r>
                  <w:r>
                    <w:rPr>
                      <w:rFonts w:ascii="仿宋_GB2312" w:hAnsi="仿宋_GB2312" w:cs="仿宋_GB2312" w:eastAsia="仿宋_GB2312"/>
                      <w:sz w:val="20"/>
                      <w:color w:val="000000"/>
                    </w:rPr>
                    <w:t>iPad控制软件适配器（11寸护眼屏2560*1600LCD 90HZ刷新率无屏闪至高8GB+256GB）</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专用机柜</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宽度</w:t>
                  </w:r>
                  <w:r>
                    <w:rPr>
                      <w:rFonts w:ascii="仿宋_GB2312" w:hAnsi="仿宋_GB2312" w:cs="仿宋_GB2312" w:eastAsia="仿宋_GB2312"/>
                      <w:sz w:val="20"/>
                      <w:color w:val="000000"/>
                    </w:rPr>
                    <w:t>600MM深度600MM高度1166M容量22U</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专用配电箱</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定制配电箱（</w:t>
                  </w:r>
                  <w:r>
                    <w:rPr>
                      <w:rFonts w:ascii="仿宋_GB2312" w:hAnsi="仿宋_GB2312" w:cs="仿宋_GB2312" w:eastAsia="仿宋_GB2312"/>
                      <w:sz w:val="20"/>
                      <w:color w:val="000000"/>
                    </w:rPr>
                    <w:t>20KW）</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显示屏主体结构</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钢结构包边</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定制专业包边（</w:t>
                  </w:r>
                  <w:r>
                    <w:rPr>
                      <w:rFonts w:ascii="仿宋_GB2312" w:hAnsi="仿宋_GB2312" w:cs="仿宋_GB2312" w:eastAsia="仿宋_GB2312"/>
                      <w:sz w:val="20"/>
                      <w:color w:val="000000"/>
                    </w:rPr>
                    <w:t>LED显示屏四周不锈钢1.2MM厚包边装饰）</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11.47</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视频会议升降支架</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宽</w:t>
                  </w:r>
                  <w:r>
                    <w:rPr>
                      <w:rFonts w:ascii="仿宋_GB2312" w:hAnsi="仿宋_GB2312" w:cs="仿宋_GB2312" w:eastAsia="仿宋_GB2312"/>
                      <w:sz w:val="20"/>
                      <w:color w:val="000000"/>
                    </w:rPr>
                    <w:t>1.1CM行程1000MM重量8KG外形148MM*64MM升高总高2195MM外直径3.8MM最大负载3000N（行程1000）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视频会议高清线</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工程布线（</w:t>
                  </w:r>
                  <w:r>
                    <w:rPr>
                      <w:rFonts w:ascii="仿宋_GB2312" w:hAnsi="仿宋_GB2312" w:cs="仿宋_GB2312" w:eastAsia="仿宋_GB2312"/>
                      <w:sz w:val="20"/>
                      <w:color w:val="000000"/>
                    </w:rPr>
                    <w:t>HDMI高清信号线）</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屏体拆除</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建设场所原有</w:t>
                  </w:r>
                  <w:r>
                    <w:rPr>
                      <w:rFonts w:ascii="仿宋_GB2312" w:hAnsi="仿宋_GB2312" w:cs="仿宋_GB2312" w:eastAsia="仿宋_GB2312"/>
                      <w:sz w:val="20"/>
                      <w:color w:val="000000"/>
                    </w:rPr>
                    <w:t>LED屏</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墙体拆除</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建设场所原有</w:t>
                  </w:r>
                  <w:r>
                    <w:rPr>
                      <w:rFonts w:ascii="仿宋_GB2312" w:hAnsi="仿宋_GB2312" w:cs="仿宋_GB2312" w:eastAsia="仿宋_GB2312"/>
                      <w:sz w:val="20"/>
                      <w:color w:val="000000"/>
                    </w:rPr>
                    <w:t>LED屏墙体突出部分</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管理运输</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显示屏设备</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安装调试</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安装调试</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10.76</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r>
          </w:tbl>
          <w:tbl>
            <w:tblPr>
              <w:tblBorders>
                <w:top w:val="none" w:color="000000" w:sz="4"/>
                <w:left w:val="none" w:color="000000" w:sz="4"/>
                <w:bottom w:val="none" w:color="000000" w:sz="4"/>
                <w:right w:val="none" w:color="000000" w:sz="4"/>
                <w:insideH w:val="none"/>
                <w:insideV w:val="none"/>
              </w:tblBorders>
            </w:tblPr>
            <w:tblGrid>
              <w:gridCol w:w="282"/>
              <w:gridCol w:w="536"/>
              <w:gridCol w:w="1725"/>
            </w:tblGrid>
            <w:tr>
              <w:tc>
                <w:tcPr>
                  <w:tcW w:type="dxa" w:w="2543"/>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4"/>
                      <w:color w:val="000000"/>
                    </w:rPr>
                    <w:t>系统平台建设工程量及技术要求</w:t>
                  </w:r>
                </w:p>
              </w:tc>
            </w:tr>
            <w:tr>
              <w:tc>
                <w:tcPr>
                  <w:tcW w:type="dxa" w:w="2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3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功能点</w:t>
                  </w:r>
                </w:p>
              </w:tc>
              <w:tc>
                <w:tcPr>
                  <w:tcW w:type="dxa" w:w="17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功能描述</w:t>
                  </w:r>
                </w:p>
              </w:tc>
            </w:tr>
            <w:tr>
              <w:tc>
                <w:tcPr>
                  <w:tcW w:type="dxa" w:w="282"/>
                  <w:vMerge/>
                  <w:tcBorders>
                    <w:top w:val="none" w:color="000000" w:sz="4"/>
                    <w:left w:val="single" w:color="000000" w:sz="4"/>
                    <w:bottom w:val="single" w:color="000000" w:sz="4"/>
                    <w:right w:val="single" w:color="000000" w:sz="4"/>
                  </w:tcBorders>
                </w:tcPr>
                <w:p/>
              </w:tc>
              <w:tc>
                <w:tcPr>
                  <w:tcW w:type="dxa" w:w="536"/>
                  <w:vMerge/>
                  <w:tcBorders>
                    <w:top w:val="single" w:color="000000" w:sz="4"/>
                    <w:left w:val="none" w:color="000000" w:sz="4"/>
                    <w:bottom w:val="single" w:color="000000" w:sz="4"/>
                    <w:right w:val="single" w:color="000000" w:sz="4"/>
                  </w:tcBorders>
                </w:tcPr>
                <w:p/>
              </w:tc>
              <w:tc>
                <w:tcPr>
                  <w:tcW w:type="dxa" w:w="1725"/>
                  <w:vMerge/>
                  <w:tcBorders>
                    <w:top w:val="single" w:color="000000" w:sz="4"/>
                    <w:left w:val="none" w:color="000000" w:sz="4"/>
                    <w:bottom w:val="single" w:color="000000" w:sz="4"/>
                    <w:right w:val="single" w:color="000000" w:sz="4"/>
                  </w:tcBorders>
                </w:tcPr>
                <w:p/>
              </w:tc>
            </w:tr>
            <w:tr>
              <w:tc>
                <w:tcPr>
                  <w:tcW w:type="dxa" w:w="254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数据中心</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数据库设计规划</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根据系统需求，确定数据库中需要包含的数据类型（如矢量数据、栅格数据等）、数据规模、数据更新频率等，为后续的数据收集和数据库设计提供依据。</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数据导入及存储</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数据来源包含卫星影像、航空摄影、地面测量、现有地图和数据库等。通过数据库进行统一的数据导入和管理。</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数据格式转化及标准化</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将不同格式的数据（如</w:t>
                  </w:r>
                  <w:r>
                    <w:rPr>
                      <w:rFonts w:ascii="仿宋_GB2312" w:hAnsi="仿宋_GB2312" w:cs="仿宋_GB2312" w:eastAsia="仿宋_GB2312"/>
                      <w:sz w:val="20"/>
                      <w:color w:val="000000"/>
                    </w:rPr>
                    <w:t>Shapefile、GeoTIFF、KML、GML等）进行转换和标准化，以便在统一的GIS平台上使用。</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数据清洗和预处理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对收集到的数据进行清洗，去除错误、重复或不一致的数据，以确保数据的准确性和一致性。</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数据建模</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建立概念模型：对现实世界的地理现象和对象进行高层次抽象，定义主要的地理对象及其之间的关系，如在城市规划中包括道路、建筑物、土地使用区等概念对象。</w:t>
                  </w:r>
                  <w:r>
                    <w:br/>
                  </w:r>
                  <w:r>
                    <w:rPr>
                      <w:rFonts w:ascii="仿宋_GB2312" w:hAnsi="仿宋_GB2312" w:cs="仿宋_GB2312" w:eastAsia="仿宋_GB2312"/>
                      <w:sz w:val="20"/>
                      <w:color w:val="000000"/>
                    </w:rPr>
                    <w:t>细化为逻辑模型：在概念模型的基础上，进一步细化为逻辑模型，定义具体的数据库结构，包括表、字段、数据类型和约束条件等。</w:t>
                  </w:r>
                  <w:r>
                    <w:br/>
                  </w:r>
                  <w:r>
                    <w:rPr>
                      <w:rFonts w:ascii="仿宋_GB2312" w:hAnsi="仿宋_GB2312" w:cs="仿宋_GB2312" w:eastAsia="仿宋_GB2312"/>
                      <w:sz w:val="20"/>
                      <w:color w:val="000000"/>
                    </w:rPr>
                    <w:t>设计物理模型：根据逻辑模型和具体的数据库管理系统，设计物理模型，考虑数据的存储结构、索引方式等，以优化数据的存储和查询效率。</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设计数据库结构</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定义表结构、字段类型、索引和约束条件等，为提高空间查询性能，可以为几何字段创建空间索引。</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数据导入和验证</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将经过处理和转换的数据准确导入数据库，并进行数据验证，确保数据的完整性和正确性。</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数据更新</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根据需求，对数据库中的数据进行定期或实时更新，如矢量数据、影像数据、保单数据等</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数据备份和恢复</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定期备份数据库，防止数据丢失，并制定数据恢复策略，以应对可能出现的数据损坏或丢失情况。</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性能优化</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对数据库进行性能优化，包括为常用的查询字段创建索引，如空间索引、文本索引等，以提高查询速度；优化</w:t>
                  </w:r>
                  <w:r>
                    <w:rPr>
                      <w:rFonts w:ascii="仿宋_GB2312" w:hAnsi="仿宋_GB2312" w:cs="仿宋_GB2312" w:eastAsia="仿宋_GB2312"/>
                      <w:sz w:val="20"/>
                      <w:color w:val="000000"/>
                    </w:rPr>
                    <w:t>SQL查询语句，使用存储过程和触发器等，提高查询效率。</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数据加密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对敏感数据进行加密存储和传输，防止数据泄露。</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访问控制</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定义用户角色和权限，确保只有授权用户才能访问和操作特定的数据和功能</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数据完整性保护</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采取措施防止数据被非法篡改，确保数据的完整性和可靠性。</w:t>
                  </w:r>
                </w:p>
              </w:tc>
            </w:tr>
            <w:tr>
              <w:tc>
                <w:tcPr>
                  <w:tcW w:type="dxa" w:w="254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基础服务功能</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用户管理</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用户注册与登录：提供用户注册和登录功能，支持多种登录方式（如用户名、邮箱、手机号、第三方账号等），并进行身份验证和安全控制。</w:t>
                  </w:r>
                  <w:r>
                    <w:br/>
                  </w:r>
                  <w:r>
                    <w:rPr>
                      <w:rFonts w:ascii="仿宋_GB2312" w:hAnsi="仿宋_GB2312" w:cs="仿宋_GB2312" w:eastAsia="仿宋_GB2312"/>
                      <w:sz w:val="20"/>
                      <w:color w:val="000000"/>
                    </w:rPr>
                    <w:t>用户信息管理：存储和管理用户的基本信息（如姓名、性别、联系方式等），支持用户信息的查询、修改和删除。</w:t>
                  </w:r>
                  <w:r>
                    <w:br/>
                  </w:r>
                  <w:r>
                    <w:rPr>
                      <w:rFonts w:ascii="仿宋_GB2312" w:hAnsi="仿宋_GB2312" w:cs="仿宋_GB2312" w:eastAsia="仿宋_GB2312"/>
                      <w:sz w:val="20"/>
                      <w:color w:val="000000"/>
                    </w:rPr>
                    <w:t>用户认证与授权：与权限管理系统结合，进行用户身份认证和权限验证，确保用户只能访问其被授权的功能和资源。</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权限管理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角色定义与管理：创建和管理不同的用户角色（如管理员、普通用户、访客等），每个角色具有不同的权限集合。</w:t>
                  </w:r>
                  <w:r>
                    <w:br/>
                  </w:r>
                  <w:r>
                    <w:rPr>
                      <w:rFonts w:ascii="仿宋_GB2312" w:hAnsi="仿宋_GB2312" w:cs="仿宋_GB2312" w:eastAsia="仿宋_GB2312"/>
                      <w:sz w:val="20"/>
                      <w:color w:val="000000"/>
                    </w:rPr>
                    <w:t>权限分配与控制：为角色或用户分配具体的权限，如访问某些功能模块、查看或修改某些数据等，并在系统中进行权限验证和控制。</w:t>
                  </w:r>
                  <w:r>
                    <w:br/>
                  </w:r>
                  <w:r>
                    <w:rPr>
                      <w:rFonts w:ascii="仿宋_GB2312" w:hAnsi="仿宋_GB2312" w:cs="仿宋_GB2312" w:eastAsia="仿宋_GB2312"/>
                      <w:sz w:val="20"/>
                      <w:color w:val="000000"/>
                    </w:rPr>
                    <w:t>权限继承与组合：支持权限的继承和组合，通过角色继承和权限组合，简化权限管理的复杂度。</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日志管理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日志记录与存储：记录系统运行过程中的各种日志信息，如用户操作日志、系统运行日志、错误日志等，并将日志数据存储在合适的位置（如数据库、文件系统等）。</w:t>
                  </w:r>
                  <w:r>
                    <w:br/>
                  </w:r>
                  <w:r>
                    <w:rPr>
                      <w:rFonts w:ascii="仿宋_GB2312" w:hAnsi="仿宋_GB2312" w:cs="仿宋_GB2312" w:eastAsia="仿宋_GB2312"/>
                      <w:sz w:val="20"/>
                      <w:color w:val="000000"/>
                    </w:rPr>
                    <w:t>日志查询与分析：提供日志查询功能，支持按时间、用户、操作类型等条件进行日志检索和分析，以便进行系统监控、故障排查和安全审计。</w:t>
                  </w:r>
                  <w:r>
                    <w:br/>
                  </w:r>
                  <w:r>
                    <w:rPr>
                      <w:rFonts w:ascii="仿宋_GB2312" w:hAnsi="仿宋_GB2312" w:cs="仿宋_GB2312" w:eastAsia="仿宋_GB2312"/>
                      <w:sz w:val="20"/>
                      <w:color w:val="000000"/>
                    </w:rPr>
                    <w:t>日志监控与告警：实时监控日志信息，当发现异常情况（如频繁错误、非法访问等）时，及时发出告警通知相关人员进行处理。</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消息通知</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消息发送与接收：支持系统向用户发送通知消息（如邮件</w:t>
                  </w:r>
                  <w:r>
                    <w:rPr>
                      <w:rFonts w:ascii="仿宋_GB2312" w:hAnsi="仿宋_GB2312" w:cs="仿宋_GB2312" w:eastAsia="仿宋_GB2312"/>
                      <w:sz w:val="20"/>
                      <w:color w:val="000000"/>
                    </w:rPr>
                    <w:t>/短信/站内信等），以及接收用户的反馈和回复消息。</w:t>
                  </w:r>
                  <w:r>
                    <w:br/>
                  </w:r>
                  <w:r>
                    <w:rPr>
                      <w:rFonts w:ascii="仿宋_GB2312" w:hAnsi="仿宋_GB2312" w:cs="仿宋_GB2312" w:eastAsia="仿宋_GB2312"/>
                      <w:sz w:val="20"/>
                      <w:color w:val="000000"/>
                    </w:rPr>
                    <w:t>消息模板管理：创建和管理消息模板，定义不同类型消息的格式和内容，提高消息发送的效率和一致性。</w:t>
                  </w:r>
                  <w:r>
                    <w:br/>
                  </w:r>
                  <w:r>
                    <w:rPr>
                      <w:rFonts w:ascii="仿宋_GB2312" w:hAnsi="仿宋_GB2312" w:cs="仿宋_GB2312" w:eastAsia="仿宋_GB2312"/>
                      <w:sz w:val="20"/>
                      <w:color w:val="000000"/>
                    </w:rPr>
                    <w:t>消息状态跟踪：跟踪消息的发送状态和用户阅读状态，了解消息的送达情况和用户的反馈。</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缓存管理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缓存策略制定：根据系统的需求和数据特点，制定合适的缓存策略，如时间缓存、频率缓存等，确定哪些数据需要缓存以及缓存的时效性。</w:t>
                  </w:r>
                  <w:r>
                    <w:br/>
                  </w:r>
                  <w:r>
                    <w:rPr>
                      <w:rFonts w:ascii="仿宋_GB2312" w:hAnsi="仿宋_GB2312" w:cs="仿宋_GB2312" w:eastAsia="仿宋_GB2312"/>
                      <w:sz w:val="20"/>
                      <w:color w:val="000000"/>
                    </w:rPr>
                    <w:t>缓存数据维护：对缓存中的数据进行维护和更新，当原始数据发生变化时，及时更新缓存数据，确保数据的一致性和准确性。</w:t>
                  </w:r>
                  <w:r>
                    <w:br/>
                  </w:r>
                  <w:r>
                    <w:rPr>
                      <w:rFonts w:ascii="仿宋_GB2312" w:hAnsi="仿宋_GB2312" w:cs="仿宋_GB2312" w:eastAsia="仿宋_GB2312"/>
                      <w:sz w:val="20"/>
                      <w:color w:val="000000"/>
                    </w:rPr>
                    <w:t>缓存性能优化：通过合理设置缓存参数、优化缓存算法等手段，提高缓存的命中率和性能，减少对后端数据库的访问压力。</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定时任务</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任务调度与执行：按照预设的时间或周期，自动触发和执行定时任务，如数据备份、统计报表生成、缓存清理等。</w:t>
                  </w:r>
                  <w:r>
                    <w:br/>
                  </w:r>
                  <w:r>
                    <w:rPr>
                      <w:rFonts w:ascii="仿宋_GB2312" w:hAnsi="仿宋_GB2312" w:cs="仿宋_GB2312" w:eastAsia="仿宋_GB2312"/>
                      <w:sz w:val="20"/>
                      <w:color w:val="000000"/>
                    </w:rPr>
                    <w:t>任务监控与管理：对定时任务的执行情况进行监控和管理，记录任务的执行日志和状态信息，方便进行任务的查看、暂停、恢复和调整等操作。</w:t>
                  </w:r>
                  <w:r>
                    <w:br/>
                  </w:r>
                  <w:r>
                    <w:rPr>
                      <w:rFonts w:ascii="仿宋_GB2312" w:hAnsi="仿宋_GB2312" w:cs="仿宋_GB2312" w:eastAsia="仿宋_GB2312"/>
                      <w:sz w:val="20"/>
                      <w:color w:val="000000"/>
                    </w:rPr>
                    <w:t>任务依赖与调度：支持任务之间的依赖关系定义，根据任务的依赖关系进行合理的调度和执行，确保任务的正确性和顺序性。</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文件管理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文件存储与检索：提供文件的存储功能，支持多种文件格式（如文档、图片、视频等），并建立文件索引和元数据，方便用户快速检索和查找文件。</w:t>
                  </w:r>
                  <w:r>
                    <w:br/>
                  </w:r>
                  <w:r>
                    <w:rPr>
                      <w:rFonts w:ascii="仿宋_GB2312" w:hAnsi="仿宋_GB2312" w:cs="仿宋_GB2312" w:eastAsia="仿宋_GB2312"/>
                      <w:sz w:val="20"/>
                      <w:color w:val="000000"/>
                    </w:rPr>
                    <w:t>文件上传与下载：实现文件的上传和下载功能，对上传的文件进行病毒扫描和安全检查，确保文件的安全性和完整性。</w:t>
                  </w:r>
                  <w:r>
                    <w:br/>
                  </w:r>
                  <w:r>
                    <w:rPr>
                      <w:rFonts w:ascii="仿宋_GB2312" w:hAnsi="仿宋_GB2312" w:cs="仿宋_GB2312" w:eastAsia="仿宋_GB2312"/>
                      <w:sz w:val="20"/>
                      <w:color w:val="000000"/>
                    </w:rPr>
                    <w:t>文件版本控制：支持文件的版本管理，记录文件的历史版本信息，方便用户查看和恢复文件的早期版本。</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第三方集成</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接口对接与数据交互：与第三方系统或服务进行接口对接，实现数据的交互和共享。</w:t>
                  </w:r>
                  <w:r>
                    <w:br/>
                  </w:r>
                  <w:r>
                    <w:rPr>
                      <w:rFonts w:ascii="仿宋_GB2312" w:hAnsi="仿宋_GB2312" w:cs="仿宋_GB2312" w:eastAsia="仿宋_GB2312"/>
                      <w:sz w:val="20"/>
                      <w:color w:val="000000"/>
                    </w:rPr>
                    <w:t>认证与授权：在与第三方系统集成时，进行必要的认证和授权操作，确保数据的安全性和合法性。</w:t>
                  </w:r>
                  <w:r>
                    <w:br/>
                  </w:r>
                  <w:r>
                    <w:rPr>
                      <w:rFonts w:ascii="仿宋_GB2312" w:hAnsi="仿宋_GB2312" w:cs="仿宋_GB2312" w:eastAsia="仿宋_GB2312"/>
                      <w:sz w:val="20"/>
                      <w:color w:val="000000"/>
                    </w:rPr>
                    <w:t>数据同步与更新：定期或实时地与第三方系统进行数据同步和更新，保持数据的一致性和时效性。</w:t>
                  </w:r>
                </w:p>
              </w:tc>
            </w:tr>
            <w:tr>
              <w:tc>
                <w:tcPr>
                  <w:tcW w:type="dxa" w:w="254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财政监管服务功能</w:t>
                  </w:r>
                  <w:r>
                    <w:rPr>
                      <w:rFonts w:ascii="仿宋_GB2312" w:hAnsi="仿宋_GB2312" w:cs="仿宋_GB2312" w:eastAsia="仿宋_GB2312"/>
                      <w:sz w:val="20"/>
                      <w:b/>
                      <w:color w:val="000000"/>
                    </w:rPr>
                    <w:t>-（承保数据管理）</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承保数据上传</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支持批量</w:t>
                  </w:r>
                  <w:r>
                    <w:rPr>
                      <w:rFonts w:ascii="仿宋_GB2312" w:hAnsi="仿宋_GB2312" w:cs="仿宋_GB2312" w:eastAsia="仿宋_GB2312"/>
                      <w:sz w:val="20"/>
                      <w:color w:val="000000"/>
                    </w:rPr>
                    <w:t>/单个上传种植险、养殖险、森林险、农房险的承保数据，包括但不限于保单数据、矢量数据、验标照片、核验报告等。</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数据上传校验</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文件类型和格式限制：</w:t>
                  </w:r>
                  <w:r>
                    <w:br/>
                  </w:r>
                  <w:r>
                    <w:rPr>
                      <w:rFonts w:ascii="仿宋_GB2312" w:hAnsi="仿宋_GB2312" w:cs="仿宋_GB2312" w:eastAsia="仿宋_GB2312"/>
                      <w:sz w:val="20"/>
                      <w:color w:val="000000"/>
                    </w:rPr>
                    <w:t>1、定义支持的文件类型：明确系统支持的文件类型，如图片（JPEG、PNG等）、矢量（shp）、文档（PDF、DOCX等）、电子表格（XLSX、CSV等）或其他特定格式。</w:t>
                  </w:r>
                  <w:r>
                    <w:br/>
                  </w:r>
                  <w:r>
                    <w:rPr>
                      <w:rFonts w:ascii="仿宋_GB2312" w:hAnsi="仿宋_GB2312" w:cs="仿宋_GB2312" w:eastAsia="仿宋_GB2312"/>
                      <w:sz w:val="20"/>
                      <w:color w:val="000000"/>
                    </w:rPr>
                    <w:t>2、文件格式验证：在上传过程中验证文件的格式是否符合要求，防止不支持的文件类型被上传到系统中。</w:t>
                  </w:r>
                  <w:r>
                    <w:br/>
                  </w:r>
                  <w:r>
                    <w:rPr>
                      <w:rFonts w:ascii="仿宋_GB2312" w:hAnsi="仿宋_GB2312" w:cs="仿宋_GB2312" w:eastAsia="仿宋_GB2312"/>
                      <w:sz w:val="20"/>
                      <w:color w:val="000000"/>
                    </w:rPr>
                    <w:t>文件大小限制：</w:t>
                  </w:r>
                  <w:r>
                    <w:br/>
                  </w:r>
                  <w:r>
                    <w:rPr>
                      <w:rFonts w:ascii="仿宋_GB2312" w:hAnsi="仿宋_GB2312" w:cs="仿宋_GB2312" w:eastAsia="仿宋_GB2312"/>
                      <w:sz w:val="20"/>
                      <w:color w:val="000000"/>
                    </w:rPr>
                    <w:t>1、设置最大文件大小：根据系统的需求和性能考虑，设置上传文件的最大大小限制，避免过大的文件占用过多的系统资源。</w:t>
                  </w:r>
                  <w:r>
                    <w:br/>
                  </w:r>
                  <w:r>
                    <w:rPr>
                      <w:rFonts w:ascii="仿宋_GB2312" w:hAnsi="仿宋_GB2312" w:cs="仿宋_GB2312" w:eastAsia="仿宋_GB2312"/>
                      <w:sz w:val="20"/>
                      <w:color w:val="000000"/>
                    </w:rPr>
                    <w:t>2、分块上传：对于超过大小限制的文件，可以考虑实现分块上传功能，将大文件分割成多个小块分别上传，上传完成后在服务器端进行合并。</w:t>
                  </w:r>
                  <w:r>
                    <w:br/>
                  </w:r>
                  <w:r>
                    <w:rPr>
                      <w:rFonts w:ascii="仿宋_GB2312" w:hAnsi="仿宋_GB2312" w:cs="仿宋_GB2312" w:eastAsia="仿宋_GB2312"/>
                      <w:sz w:val="20"/>
                      <w:color w:val="000000"/>
                    </w:rPr>
                    <w:t>上传性能优化：</w:t>
                  </w:r>
                  <w:r>
                    <w:br/>
                  </w:r>
                  <w:r>
                    <w:rPr>
                      <w:rFonts w:ascii="仿宋_GB2312" w:hAnsi="仿宋_GB2312" w:cs="仿宋_GB2312" w:eastAsia="仿宋_GB2312"/>
                      <w:sz w:val="20"/>
                      <w:color w:val="000000"/>
                    </w:rPr>
                    <w:t>1、上传进度显示：提供上传进度条或进度指示器，实时显示文件上传的进度，增强用户体验。</w:t>
                  </w:r>
                  <w:r>
                    <w:br/>
                  </w:r>
                  <w:r>
                    <w:rPr>
                      <w:rFonts w:ascii="仿宋_GB2312" w:hAnsi="仿宋_GB2312" w:cs="仿宋_GB2312" w:eastAsia="仿宋_GB2312"/>
                      <w:sz w:val="20"/>
                      <w:color w:val="000000"/>
                    </w:rPr>
                    <w:t>多线程上传：利用多线程技术同时上传多个文件或文件块，提高上传效率。</w:t>
                  </w:r>
                  <w:r>
                    <w:br/>
                  </w:r>
                  <w:r>
                    <w:rPr>
                      <w:rFonts w:ascii="仿宋_GB2312" w:hAnsi="仿宋_GB2312" w:cs="仿宋_GB2312" w:eastAsia="仿宋_GB2312"/>
                      <w:sz w:val="20"/>
                      <w:color w:val="000000"/>
                    </w:rPr>
                    <w:t>2、压缩上传数据：在上传前对文件进行压缩，减少数据量，加快上传速度，但在服务器端需要进行解压缩操作。</w:t>
                  </w:r>
                  <w:r>
                    <w:br/>
                  </w:r>
                  <w:r>
                    <w:rPr>
                      <w:rFonts w:ascii="仿宋_GB2312" w:hAnsi="仿宋_GB2312" w:cs="仿宋_GB2312" w:eastAsia="仿宋_GB2312"/>
                      <w:sz w:val="20"/>
                      <w:color w:val="000000"/>
                    </w:rPr>
                    <w:t>数据完整性校验</w:t>
                  </w:r>
                  <w:r>
                    <w:br/>
                  </w:r>
                  <w:r>
                    <w:rPr>
                      <w:rFonts w:ascii="仿宋_GB2312" w:hAnsi="仿宋_GB2312" w:cs="仿宋_GB2312" w:eastAsia="仿宋_GB2312"/>
                      <w:sz w:val="20"/>
                      <w:color w:val="000000"/>
                    </w:rPr>
                    <w:t>1、校验算法设计：设计合适的校验算法，如MD5、SHA-1等，对上传的文件计算校验值。</w:t>
                  </w:r>
                  <w:r>
                    <w:br/>
                  </w:r>
                  <w:r>
                    <w:rPr>
                      <w:rFonts w:ascii="仿宋_GB2312" w:hAnsi="仿宋_GB2312" w:cs="仿宋_GB2312" w:eastAsia="仿宋_GB2312"/>
                      <w:sz w:val="20"/>
                      <w:color w:val="000000"/>
                    </w:rPr>
                    <w:t>2、校验值比较：在文件上传完成后，将客户端计算的校验值与服务器端重新计算的校验值进行比较，确保文件在传输过程中未被篡改或损坏。</w:t>
                  </w:r>
                  <w:r>
                    <w:br/>
                  </w:r>
                  <w:r>
                    <w:rPr>
                      <w:rFonts w:ascii="仿宋_GB2312" w:hAnsi="仿宋_GB2312" w:cs="仿宋_GB2312" w:eastAsia="仿宋_GB2312"/>
                      <w:sz w:val="20"/>
                      <w:color w:val="000000"/>
                    </w:rPr>
                    <w:t>错误处理和用户反馈</w:t>
                  </w:r>
                  <w:r>
                    <w:br/>
                  </w:r>
                  <w:r>
                    <w:rPr>
                      <w:rFonts w:ascii="仿宋_GB2312" w:hAnsi="仿宋_GB2312" w:cs="仿宋_GB2312" w:eastAsia="仿宋_GB2312"/>
                      <w:sz w:val="20"/>
                      <w:color w:val="000000"/>
                    </w:rPr>
                    <w:t>1、错误检测和处理：在上传过程中检测可能出现的错误，如网络中断、文件读取错误等，并进行相应的处理。</w:t>
                  </w:r>
                  <w:r>
                    <w:br/>
                  </w:r>
                  <w:r>
                    <w:rPr>
                      <w:rFonts w:ascii="仿宋_GB2312" w:hAnsi="仿宋_GB2312" w:cs="仿宋_GB2312" w:eastAsia="仿宋_GB2312"/>
                      <w:sz w:val="20"/>
                      <w:color w:val="000000"/>
                    </w:rPr>
                    <w:t>2、用户友好的错误提示：当上传出现错误时，向用户提供清晰、友好的错误提示信息，帮助用户了解问题并采取相应的解决措施。</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安全性验证</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身份验证和授权：确保只有经过身份验证和授权的用户才能上传文件，防止未授权的用户上传恶意文件。</w:t>
                  </w:r>
                  <w:r>
                    <w:br/>
                  </w:r>
                  <w:r>
                    <w:rPr>
                      <w:rFonts w:ascii="仿宋_GB2312" w:hAnsi="仿宋_GB2312" w:cs="仿宋_GB2312" w:eastAsia="仿宋_GB2312"/>
                      <w:sz w:val="20"/>
                      <w:color w:val="000000"/>
                    </w:rPr>
                    <w:t>文件内容扫描：对上传的文件进行病毒扫描和内容检测，防止恶意软件或敏感信息被上传到系统中。</w:t>
                  </w:r>
                  <w:r>
                    <w:br/>
                  </w:r>
                  <w:r>
                    <w:rPr>
                      <w:rFonts w:ascii="仿宋_GB2312" w:hAnsi="仿宋_GB2312" w:cs="仿宋_GB2312" w:eastAsia="仿宋_GB2312"/>
                      <w:sz w:val="20"/>
                      <w:color w:val="000000"/>
                    </w:rPr>
                    <w:t>安全传输协议：使用</w:t>
                  </w:r>
                  <w:r>
                    <w:rPr>
                      <w:rFonts w:ascii="仿宋_GB2312" w:hAnsi="仿宋_GB2312" w:cs="仿宋_GB2312" w:eastAsia="仿宋_GB2312"/>
                      <w:sz w:val="20"/>
                      <w:color w:val="000000"/>
                    </w:rPr>
                    <w:t>HTTPS、FTP over TLS等安全传输协议进行文件上传，加密传输过程中的数据，防止被窃听或篡改。</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兼容性和跨平台支持</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浏览器兼容性：确保数据上传功能在不同的浏览器上都能正常工作，如</w:t>
                  </w:r>
                  <w:r>
                    <w:rPr>
                      <w:rFonts w:ascii="仿宋_GB2312" w:hAnsi="仿宋_GB2312" w:cs="仿宋_GB2312" w:eastAsia="仿宋_GB2312"/>
                      <w:sz w:val="20"/>
                      <w:color w:val="000000"/>
                    </w:rPr>
                    <w:t>Chrome、Firefox、Safari等。</w:t>
                  </w:r>
                  <w:r>
                    <w:br/>
                  </w:r>
                  <w:r>
                    <w:rPr>
                      <w:rFonts w:ascii="仿宋_GB2312" w:hAnsi="仿宋_GB2312" w:cs="仿宋_GB2312" w:eastAsia="仿宋_GB2312"/>
                      <w:sz w:val="20"/>
                      <w:color w:val="000000"/>
                    </w:rPr>
                    <w:t>设备兼容性：考虑不同设备（如桌面电脑、笔记本电脑、手机、平板等）的屏幕尺寸、操作方式等差异，优化上传界面和操作流程。</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元数据处理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元数据收集：在文件上传过程中收集相关的元数据，如文件名、上传时间、上传者信息、文件大小等。</w:t>
                  </w:r>
                  <w:r>
                    <w:br/>
                  </w:r>
                  <w:r>
                    <w:rPr>
                      <w:rFonts w:ascii="仿宋_GB2312" w:hAnsi="仿宋_GB2312" w:cs="仿宋_GB2312" w:eastAsia="仿宋_GB2312"/>
                      <w:sz w:val="20"/>
                      <w:color w:val="000000"/>
                    </w:rPr>
                    <w:t>元数据存储和管理：将收集到的元数据与文件一起存储，并进行有效的管理和检索，方便后续的数据处理和分析。</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存储和管理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存储路径和命名规则：合理规划文件的存储路径和命名规则，避免文件名冲突，方便文件的存储和检索。</w:t>
                  </w:r>
                  <w:r>
                    <w:br/>
                  </w:r>
                  <w:r>
                    <w:rPr>
                      <w:rFonts w:ascii="仿宋_GB2312" w:hAnsi="仿宋_GB2312" w:cs="仿宋_GB2312" w:eastAsia="仿宋_GB2312"/>
                      <w:sz w:val="20"/>
                      <w:color w:val="000000"/>
                    </w:rPr>
                    <w:t>文件分类和组织：根据文件的类型、用途等进行分类存储和组织，提高文件管理的效率和便捷性。</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日志记录和监控</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上传日志记录：记录文件上传的相关信息，如上传时间、用户、文件名、上传结果等，以便进行审计和问题排查。</w:t>
                  </w:r>
                  <w:r>
                    <w:br/>
                  </w:r>
                  <w:r>
                    <w:rPr>
                      <w:rFonts w:ascii="仿宋_GB2312" w:hAnsi="仿宋_GB2312" w:cs="仿宋_GB2312" w:eastAsia="仿宋_GB2312"/>
                      <w:sz w:val="20"/>
                      <w:color w:val="000000"/>
                    </w:rPr>
                    <w:t>监控上传活动：实时监控文件上传活动，统计上传的文件数量、大小等信息，分析上传趋势和用户行为，为系统的优化和改进提供依据。</w:t>
                  </w:r>
                </w:p>
              </w:tc>
            </w:tr>
            <w:tr>
              <w:tc>
                <w:tcPr>
                  <w:tcW w:type="dxa" w:w="254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财政监管服务功能</w:t>
                  </w:r>
                  <w:r>
                    <w:rPr>
                      <w:rFonts w:ascii="仿宋_GB2312" w:hAnsi="仿宋_GB2312" w:cs="仿宋_GB2312" w:eastAsia="仿宋_GB2312"/>
                      <w:sz w:val="20"/>
                      <w:b/>
                      <w:color w:val="000000"/>
                    </w:rPr>
                    <w:t>-（AI大数据审核）</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数据清洗与预处理</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对采集到的数据进行进一步清洗，去除噪声数据和异常值，补充缺失值，提高数据质量。</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特征工程与模型训练</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从海量数据中提取关键特征，如投保人的风险因素、行为模式等，并利用机器学习算法（如决策树、神经网络）训练精准承保审核模型，提高模型的准确性和泛化能力。</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自动审核引擎</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基于预设的规则和模型，对精准承保的结果进行自动审核。例如，根据承保标的矢量数据和保单数据对比，自动判断是否真实承保、是否超保等情况，减少人工干预，提高审核效率。</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人工审核支持（佐证材料上传及审核）</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对于自动审核无法确定或存在疑虑的案例，提供人工审核界面，支持审核人员查看详细数据、补充信息和进行判断，确保审核结果的准确性和公正性。</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实时风险评估</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结合审核结果和最新数据，实时评估已承保业务的风险状况，如发现风险变化或异常情况，及时发出预警通知。</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风险趋势分析</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分析风险的变化趋势，为财政进行承保监管提供依据、为保险公司调整承保策略提供佐证，降低行业整体风险。</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模型性能监控</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持续监测审核模型的性能指标，如准确率、召回率等，及时发现模型的退化或失效情况。</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反馈与迭代优化</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收集审核过程中的反馈信息，如人工审核的修正结果、业务人员的经验建议等，对模型进行迭代优化，不断提升审核的精准度和效率。</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审核结果展示</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以直观的方式向审核人员展示精准承保的审核结果，包括通过、拒绝或需要进一步审核的状态，同时提供详细的数据支持和原因说明。</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数据分析与可视化</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提供丰富的数据分析工具和可视化界面，方便管理人员和业务人员查看承保业务的整体情况、风险分布、审核效率等指标，辅助决策制定。</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系统参数配置</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支持对审核规则、模型参数、数据源连接等系统参数进行灵活配置和管理，适应不同的业务需求和数据环境。</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运行状态监控</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实时掌控系统的运行状态，包括数据采集进度、模型训练情况、审核任务负载等，及时发现和解决系统运行中的问题，确保系统的稳定性和可靠性。</w:t>
                  </w:r>
                </w:p>
              </w:tc>
            </w:tr>
            <w:tr>
              <w:tc>
                <w:tcPr>
                  <w:tcW w:type="dxa" w:w="254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财政监管服务功能</w:t>
                  </w:r>
                  <w:r>
                    <w:rPr>
                      <w:rFonts w:ascii="仿宋_GB2312" w:hAnsi="仿宋_GB2312" w:cs="仿宋_GB2312" w:eastAsia="仿宋_GB2312"/>
                      <w:sz w:val="20"/>
                      <w:b/>
                      <w:color w:val="000000"/>
                    </w:rPr>
                    <w:t>-（政府审核及确认）</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流程实例化</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当大数据审核通过后，系统根据业务类型自动匹配相应的审批流程模板，生成具体的审批实例。</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任务分配与通知</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系统自动将审批任务分配给指定的审批人，并通过系统内通知方式及时告知审批人。</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任务状态跟踪</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实时记录每个审批任务的状态（如待审批、审批中、已通过、已拒绝），方便查询和管理。</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数据展示与分析</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为审批人提供直观的数据展示界面，包括大数据分析的结果、相关业务数据和历史审批记录等，帮助审批人做出决策。</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规则辅助判断</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提供基于业务规则的辅助判断工具，如风险评估指标、合规性检查等，辅助审批人进行判断。</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审批意见录入</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审批人可以在系统中录入审批意见，包括通过、拒绝或退回修改等，并可添加详细的理由说明。</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电子签名与确认</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支持审批人通过电子签名或系统账号确认审批意见，确保审批操作的可追溯性和安全性。</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历史记录查询</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系统完整记录每个审批流程的历史记录，包括每个步骤的审批人、审批时间、审批意见等，支持按多种条件进行查询和审计。</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统计分析</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提供审批流程的统计分析功能，如审批通过率、平均审批时长等，为流程优化和绩效评估提供数据支持。</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保单抽检</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支持针对已上传的承保数据进行抽检，系统提供自动抽取功能，抽取保单后由抽检人员进行线下检查，并支持上传检查结果</w:t>
                  </w:r>
                </w:p>
              </w:tc>
            </w:tr>
            <w:tr>
              <w:tc>
                <w:tcPr>
                  <w:tcW w:type="dxa" w:w="254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财政监管服务功能</w:t>
                  </w:r>
                  <w:r>
                    <w:rPr>
                      <w:rFonts w:ascii="仿宋_GB2312" w:hAnsi="仿宋_GB2312" w:cs="仿宋_GB2312" w:eastAsia="仿宋_GB2312"/>
                      <w:sz w:val="20"/>
                      <w:b/>
                      <w:color w:val="000000"/>
                    </w:rPr>
                    <w:t>-（补贴结算及报表）</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补贴比例配置</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提供用户友好的界面，允许管理员根据不同的险种、地区、时间等维度灵活配置补贴比例。将配置的补贴比例存储在数据库中，支持对配置历史的查询和管理。</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补贴金额计算</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根据配置的补贴比例和承保数据，设计计算逻辑，计算每个保单的补贴金额。支持批量计算所有符合条件的保单补贴金额，也支持实时计算单个保单的补贴金额。</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报表模板设计</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设计多种报表模板，包括按险种、按地区、按时间等维度的报表，满足不同的统计和分析需求。</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报表数据填充</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根据计算结果，自动填充报表模板中的数据，生成详细的补贴报表。</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报表输出与导出</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支持将生成的报表以</w:t>
                  </w:r>
                  <w:r>
                    <w:rPr>
                      <w:rFonts w:ascii="仿宋_GB2312" w:hAnsi="仿宋_GB2312" w:cs="仿宋_GB2312" w:eastAsia="仿宋_GB2312"/>
                      <w:sz w:val="20"/>
                      <w:color w:val="000000"/>
                    </w:rPr>
                    <w:t>PDF、Excel等格式输出和导出，方便用户查看、打印和分享。</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高性能计算</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采用分布式计算框架（如</w:t>
                  </w:r>
                  <w:r>
                    <w:rPr>
                      <w:rFonts w:ascii="仿宋_GB2312" w:hAnsi="仿宋_GB2312" w:cs="仿宋_GB2312" w:eastAsia="仿宋_GB2312"/>
                      <w:sz w:val="20"/>
                      <w:color w:val="000000"/>
                    </w:rPr>
                    <w:t>Apache Spark）提高补贴金额计算的效率，确保系统能够处理大规模数据。</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弹性扩展</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设计系统架构时考虑弹性扩展性，能够根据业务量的增长动态调整资源，保证系统的响应速度和稳定性。</w:t>
                  </w:r>
                </w:p>
              </w:tc>
            </w:tr>
            <w:tr>
              <w:tc>
                <w:tcPr>
                  <w:tcW w:type="dxa" w:w="254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数据驾驶舱</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数据源连接</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对接大数据审核系统、业务系统等，获取精准承保数据，包括保单、投保人、险种信息等，并整合地理信息数据，如区域</w:t>
                  </w:r>
                  <w:r>
                    <w:rPr>
                      <w:rFonts w:ascii="仿宋_GB2312" w:hAnsi="仿宋_GB2312" w:cs="仿宋_GB2312" w:eastAsia="仿宋_GB2312"/>
                      <w:sz w:val="20"/>
                      <w:color w:val="000000"/>
                    </w:rPr>
                    <w:t>boundaries、位置点等，以丰富数据展示的地理维度。</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基础地图</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设计合适的</w:t>
                  </w:r>
                  <w:r>
                    <w:rPr>
                      <w:rFonts w:ascii="仿宋_GB2312" w:hAnsi="仿宋_GB2312" w:cs="仿宋_GB2312" w:eastAsia="仿宋_GB2312"/>
                      <w:sz w:val="20"/>
                      <w:color w:val="000000"/>
                    </w:rPr>
                    <w:t>GIS地图服务，通过平台地理信息数据，作为驾驶舱的地理信息展示基础，展示精准承保业务的地理分布。</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空间数据分析与展示</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在地图上可视化展示承保业务数据，如用热力图或标记点的密度和颜色深浅表示业务集中度，支持空间查询和分析，如区域选择、距离测量，帮助用户了解特定地理区域的业务情况。</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多图层叠加展示</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支持多图层叠加展示不同维度的地理和业务信息，如在基础地图上叠加业务分布图层、风险区域图层等，用户可自定义图层组合和显示顺序，实现信息的综合分析。</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关键指标可视化</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以直观的图表和仪表盘展示精准承保数据的关键指标，如总保额、承保单数、补贴金额等，使用柱状图、折线图、饼图等图表类型，帮助用户快速了解业务整体情况和趋势。</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多维度数据分析</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支持对承保数据的多维度分析，如按险种、时间、地区等维度，通过数据透视表、交叉分析表等功能，深入分析不同维度组合下的业务表现和补贴情况，为决策提供依据。</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报表生成与导出</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提供报表生成功能，根据用户需求设计多种报表模板，支持定时生成和手动生成报表，并可将报表导出为</w:t>
                  </w:r>
                  <w:r>
                    <w:rPr>
                      <w:rFonts w:ascii="仿宋_GB2312" w:hAnsi="仿宋_GB2312" w:cs="仿宋_GB2312" w:eastAsia="仿宋_GB2312"/>
                      <w:sz w:val="20"/>
                      <w:color w:val="000000"/>
                    </w:rPr>
                    <w:t>PDF、Excel等格式，方便用户分享和存档。</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灵活的数据筛选与查询</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提供丰富的数据筛选条件和查询功能，如按时间范围、险种类型、地区范围等进行组合筛选，用户可通过下拉菜单、输入框、滑块等交互控件，快速定位所需的数据和信息。</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数据下钻与上卷</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支持数据的下钻和上卷操作，用户可以从宏观的汇总数据逐步下钻到更详细的层面，如从全国数据下钻到省、市、县的数据，也可以从明细数据上卷到更高层次的汇总数据，实现数据的灵活探索和分析。</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数据加载与响应优化</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采用数据缓存机制，如使用内存缓存或本地存储缓存频繁访问的数据，减少数据加载时间，提高系统响应速度，优化数据查询和渲染的算法和策略，如数据分页加载、按需加载等，确保大量数据下的流畅体验。</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系统架构的可扩展性</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计具有可扩展性的系统架构，方便后续的功能扩展和数据源接入，如采用微服务架构，将不同的功能模块和服务独立部署和扩展，支持高并发访问和大数据量处理，确保系统在业务增长和数据量增加时仍能稳定运行。</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兼容性与跨平台支持</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确保数据驾驶舱在不同的浏览器和设备上都能正常运行和显示，如进行浏览器兼容性测试和优化，适配桌面、平板、手机等多种终端设备，提供一致的用户体验。</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数据安全防护</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对驾驶舱中的数据进行加密存储和传输，防止数据泄露和被篡改，设置访问控制和权限管理，确保只有授权用户能够访问和操作相关数据和功能。</w:t>
                  </w:r>
                </w:p>
              </w:tc>
            </w:tr>
            <w:tr>
              <w:tc>
                <w:tcPr>
                  <w:tcW w:type="dxa" w:w="254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GIS服务</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二维静态地图服务系统</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提供地图操作、距离面积量算、地标管理等功能。</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地图操作</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实现地图的放大、缩小、平移等基础功能。</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距离与面积量算</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提供直线距离和面积的测量工具。</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地标管理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方便用户添加、分类和筛选地图上的地标。</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图层管理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灵活控制地图上地理信息的显示。</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地图符号化</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通过符号样式定义和规则配置直观理解地图信息。</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地图浏览</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提供全图显示、窗口缩放、浏览历史记录与书签功能。</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空间查询</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帮助用户获取特定位置或区域的地理信息。</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属性查询</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根据条件查询地理要素信息。</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二维空间数据管理系统</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涉及数据的采集、整合、审核等</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二维空间数据入库管理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管理无人机、卫星等采集的数据。</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元数据管理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定义和维护数据的元数据。</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数据内容自动检查</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确保数据的完整性和拓扑正确性。</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数据视图管理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创建和管理个性化的数据视图。</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矢量切片管理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管理和更新矢量切片以提升地图性能。</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二维地图服务管理系统</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管理和发布地图服务。</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地图服务创建</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通过可视化向导创建地图服务。</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样式配置</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个性化定制图层样式并管理样式模板。</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服务发布与访问权限管理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发布服务并设置访问权限。</w:t>
                  </w:r>
                </w:p>
              </w:tc>
            </w:tr>
            <w:tr>
              <w:tc>
                <w:tcPr>
                  <w:tcW w:type="dxa" w:w="254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AI地块提取工具</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地块提取</w:t>
                  </w:r>
                  <w:r>
                    <w:rPr>
                      <w:rFonts w:ascii="仿宋_GB2312" w:hAnsi="仿宋_GB2312" w:cs="仿宋_GB2312" w:eastAsia="仿宋_GB2312"/>
                      <w:sz w:val="20"/>
                      <w:color w:val="000000"/>
                    </w:rPr>
                    <w:t>-深度学习模型搭建</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架构选择：</w:t>
                  </w:r>
                  <w:r>
                    <w:rPr>
                      <w:rFonts w:ascii="仿宋_GB2312" w:hAnsi="仿宋_GB2312" w:cs="仿宋_GB2312" w:eastAsia="仿宋_GB2312"/>
                      <w:sz w:val="20"/>
                      <w:color w:val="000000"/>
                    </w:rPr>
                    <w:t xml:space="preserve">Mask R-CNN（实例分割）+ ResNet50 主干网络输入数据： </w:t>
                  </w:r>
                  <w:r>
                    <w:br/>
                  </w:r>
                  <w:r>
                    <w:rPr>
                      <w:rFonts w:ascii="仿宋_GB2312" w:hAnsi="仿宋_GB2312" w:cs="仿宋_GB2312" w:eastAsia="仿宋_GB2312"/>
                      <w:sz w:val="20"/>
                      <w:color w:val="000000"/>
                    </w:rPr>
                    <w:t>无人机：</w:t>
                  </w:r>
                  <w:r>
                    <w:rPr>
                      <w:rFonts w:ascii="仿宋_GB2312" w:hAnsi="仿宋_GB2312" w:cs="仿宋_GB2312" w:eastAsia="仿宋_GB2312"/>
                      <w:sz w:val="20"/>
                      <w:color w:val="000000"/>
                    </w:rPr>
                    <w:t>512×512 像素切片（0.1m 分辨率）</w:t>
                  </w:r>
                  <w:r>
                    <w:br/>
                  </w:r>
                  <w:r>
                    <w:rPr>
                      <w:rFonts w:ascii="仿宋_GB2312" w:hAnsi="仿宋_GB2312" w:cs="仿宋_GB2312" w:eastAsia="仿宋_GB2312"/>
                      <w:sz w:val="20"/>
                      <w:color w:val="000000"/>
                    </w:rPr>
                    <w:t>卫星：</w:t>
                  </w:r>
                  <w:r>
                    <w:rPr>
                      <w:rFonts w:ascii="仿宋_GB2312" w:hAnsi="仿宋_GB2312" w:cs="仿宋_GB2312" w:eastAsia="仿宋_GB2312"/>
                      <w:sz w:val="20"/>
                      <w:color w:val="000000"/>
                    </w:rPr>
                    <w:t>256×256 像素切片（0.5m 分辨率）</w:t>
                  </w:r>
                  <w:r>
                    <w:br/>
                  </w:r>
                  <w:r>
                    <w:rPr>
                      <w:rFonts w:ascii="仿宋_GB2312" w:hAnsi="仿宋_GB2312" w:cs="仿宋_GB2312" w:eastAsia="仿宋_GB2312"/>
                      <w:sz w:val="20"/>
                      <w:color w:val="000000"/>
                    </w:rPr>
                    <w:t>特征增强：</w:t>
                  </w:r>
                  <w:r>
                    <w:rPr>
                      <w:rFonts w:ascii="仿宋_GB2312" w:hAnsi="仿宋_GB2312" w:cs="仿宋_GB2312" w:eastAsia="仿宋_GB2312"/>
                      <w:sz w:val="20"/>
                      <w:color w:val="000000"/>
                    </w:rPr>
                    <w:t>HSV 色彩空间变换 + 数据扩增（旋转 15°/镜像）</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地块提取</w:t>
                  </w:r>
                  <w:r>
                    <w:rPr>
                      <w:rFonts w:ascii="仿宋_GB2312" w:hAnsi="仿宋_GB2312" w:cs="仿宋_GB2312" w:eastAsia="仿宋_GB2312"/>
                      <w:sz w:val="20"/>
                      <w:color w:val="000000"/>
                    </w:rPr>
                    <w:t>-模型训练</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训练集：标注样本</w:t>
                  </w:r>
                  <w:r>
                    <w:rPr>
                      <w:rFonts w:ascii="仿宋_GB2312" w:hAnsi="仿宋_GB2312" w:cs="仿宋_GB2312" w:eastAsia="仿宋_GB2312"/>
                      <w:sz w:val="20"/>
                      <w:color w:val="000000"/>
                    </w:rPr>
                    <w:t>3000+（Labelme 格式）</w:t>
                  </w:r>
                  <w:r>
                    <w:br/>
                  </w:r>
                  <w:r>
                    <w:rPr>
                      <w:rFonts w:ascii="仿宋_GB2312" w:hAnsi="仿宋_GB2312" w:cs="仿宋_GB2312" w:eastAsia="仿宋_GB2312"/>
                      <w:sz w:val="20"/>
                      <w:color w:val="000000"/>
                    </w:rPr>
                    <w:t>初始学习率：</w:t>
                  </w:r>
                  <w:r>
                    <w:rPr>
                      <w:rFonts w:ascii="仿宋_GB2312" w:hAnsi="仿宋_GB2312" w:cs="仿宋_GB2312" w:eastAsia="仿宋_GB2312"/>
                      <w:sz w:val="20"/>
                      <w:color w:val="000000"/>
                    </w:rPr>
                    <w:t>0.001（Adam 优化器）</w:t>
                  </w:r>
                  <w:r>
                    <w:br/>
                  </w:r>
                  <w:r>
                    <w:rPr>
                      <w:rFonts w:ascii="仿宋_GB2312" w:hAnsi="仿宋_GB2312" w:cs="仿宋_GB2312" w:eastAsia="仿宋_GB2312"/>
                      <w:sz w:val="20"/>
                      <w:color w:val="000000"/>
                    </w:rPr>
                    <w:t>迭代次数：</w:t>
                  </w:r>
                  <w:r>
                    <w:rPr>
                      <w:rFonts w:ascii="仿宋_GB2312" w:hAnsi="仿宋_GB2312" w:cs="仿宋_GB2312" w:eastAsia="仿宋_GB2312"/>
                      <w:sz w:val="20"/>
                      <w:color w:val="000000"/>
                    </w:rPr>
                    <w:t>100 epochs（早停机制）</w:t>
                  </w:r>
                  <w:r>
                    <w:br/>
                  </w:r>
                  <w:r>
                    <w:rPr>
                      <w:rFonts w:ascii="仿宋_GB2312" w:hAnsi="仿宋_GB2312" w:cs="仿宋_GB2312" w:eastAsia="仿宋_GB2312"/>
                      <w:sz w:val="20"/>
                      <w:color w:val="000000"/>
                    </w:rPr>
                    <w:t>硬件配置：</w:t>
                  </w:r>
                  <w:r>
                    <w:rPr>
                      <w:rFonts w:ascii="仿宋_GB2312" w:hAnsi="仿宋_GB2312" w:cs="仿宋_GB2312" w:eastAsia="仿宋_GB2312"/>
                      <w:sz w:val="20"/>
                      <w:color w:val="000000"/>
                    </w:rPr>
                    <w:t>NVIDIA 4080×4（混合精度训练）</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地块提取</w:t>
                  </w:r>
                  <w:r>
                    <w:rPr>
                      <w:rFonts w:ascii="仿宋_GB2312" w:hAnsi="仿宋_GB2312" w:cs="仿宋_GB2312" w:eastAsia="仿宋_GB2312"/>
                      <w:sz w:val="20"/>
                      <w:color w:val="000000"/>
                    </w:rPr>
                    <w:t>-自动提取</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多尺度推理：融合无人机高分辨率边界</w:t>
                  </w:r>
                  <w:r>
                    <w:rPr>
                      <w:rFonts w:ascii="仿宋_GB2312" w:hAnsi="仿宋_GB2312" w:cs="仿宋_GB2312" w:eastAsia="仿宋_GB2312"/>
                      <w:sz w:val="20"/>
                      <w:color w:val="000000"/>
                    </w:rPr>
                    <w:t>+ 卫星光谱特征</w:t>
                  </w:r>
                  <w:r>
                    <w:br/>
                  </w:r>
                  <w:r>
                    <w:rPr>
                      <w:rFonts w:ascii="仿宋_GB2312" w:hAnsi="仿宋_GB2312" w:cs="仿宋_GB2312" w:eastAsia="仿宋_GB2312"/>
                      <w:sz w:val="20"/>
                      <w:color w:val="000000"/>
                    </w:rPr>
                    <w:t>置信度过滤：保留概率值</w:t>
                  </w:r>
                  <w:r>
                    <w:rPr>
                      <w:rFonts w:ascii="仿宋_GB2312" w:hAnsi="仿宋_GB2312" w:cs="仿宋_GB2312" w:eastAsia="仿宋_GB2312"/>
                      <w:sz w:val="20"/>
                      <w:color w:val="000000"/>
                    </w:rPr>
                    <w:t>&gt;0.8 的预测结果</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地块提取</w:t>
                  </w:r>
                  <w:r>
                    <w:rPr>
                      <w:rFonts w:ascii="仿宋_GB2312" w:hAnsi="仿宋_GB2312" w:cs="仿宋_GB2312" w:eastAsia="仿宋_GB2312"/>
                      <w:sz w:val="20"/>
                      <w:color w:val="000000"/>
                    </w:rPr>
                    <w:t>-矢量化</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后处理：</w:t>
                  </w:r>
                  <w:r>
                    <w:br/>
                  </w:r>
                  <w:r>
                    <w:rPr>
                      <w:rFonts w:ascii="仿宋_GB2312" w:hAnsi="仿宋_GB2312" w:cs="仿宋_GB2312" w:eastAsia="仿宋_GB2312"/>
                      <w:sz w:val="20"/>
                      <w:color w:val="000000"/>
                    </w:rPr>
                    <w:t>1.高斯滤波平滑边缘（σ=1.5）</w:t>
                  </w:r>
                  <w:r>
                    <w:br/>
                  </w:r>
                  <w:r>
                    <w:rPr>
                      <w:rFonts w:ascii="仿宋_GB2312" w:hAnsi="仿宋_GB2312" w:cs="仿宋_GB2312" w:eastAsia="仿宋_GB2312"/>
                      <w:sz w:val="20"/>
                      <w:color w:val="000000"/>
                    </w:rPr>
                    <w:t>2.GDAL 多边形化（简化容差 0.1 像素）</w:t>
                  </w:r>
                  <w:r>
                    <w:br/>
                  </w:r>
                  <w:r>
                    <w:rPr>
                      <w:rFonts w:ascii="仿宋_GB2312" w:hAnsi="仿宋_GB2312" w:cs="仿宋_GB2312" w:eastAsia="仿宋_GB2312"/>
                      <w:sz w:val="20"/>
                      <w:color w:val="000000"/>
                    </w:rPr>
                    <w:t>3.拓扑检查（消除面积 &lt;100m² 碎斑）</w:t>
                  </w:r>
                  <w:r>
                    <w:br/>
                  </w:r>
                  <w:r>
                    <w:rPr>
                      <w:rFonts w:ascii="仿宋_GB2312" w:hAnsi="仿宋_GB2312" w:cs="仿宋_GB2312" w:eastAsia="仿宋_GB2312"/>
                      <w:sz w:val="20"/>
                      <w:color w:val="000000"/>
                    </w:rPr>
                    <w:t>输出格式：</w:t>
                  </w:r>
                  <w:r>
                    <w:rPr>
                      <w:rFonts w:ascii="仿宋_GB2312" w:hAnsi="仿宋_GB2312" w:cs="仿宋_GB2312" w:eastAsia="仿宋_GB2312"/>
                      <w:sz w:val="20"/>
                      <w:color w:val="000000"/>
                    </w:rPr>
                    <w:t>GeoPackage（包含地块 ID、面积、置信度）</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作物分类</w:t>
                  </w:r>
                  <w:r>
                    <w:rPr>
                      <w:rFonts w:ascii="仿宋_GB2312" w:hAnsi="仿宋_GB2312" w:cs="仿宋_GB2312" w:eastAsia="仿宋_GB2312"/>
                      <w:sz w:val="20"/>
                      <w:color w:val="000000"/>
                    </w:rPr>
                    <w:t>-光谱数据获取</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时相选择：关键物候期（播种</w:t>
                  </w:r>
                  <w:r>
                    <w:rPr>
                      <w:rFonts w:ascii="仿宋_GB2312" w:hAnsi="仿宋_GB2312" w:cs="仿宋_GB2312" w:eastAsia="仿宋_GB2312"/>
                      <w:sz w:val="20"/>
                      <w:color w:val="000000"/>
                    </w:rPr>
                    <w:t>/抽穗/成熟）</w:t>
                  </w:r>
                  <w:r>
                    <w:br/>
                  </w:r>
                  <w:r>
                    <w:rPr>
                      <w:rFonts w:ascii="仿宋_GB2312" w:hAnsi="仿宋_GB2312" w:cs="仿宋_GB2312" w:eastAsia="仿宋_GB2312"/>
                      <w:sz w:val="20"/>
                      <w:color w:val="000000"/>
                    </w:rPr>
                    <w:t>波段组合：</w:t>
                  </w:r>
                  <w:r>
                    <w:br/>
                  </w:r>
                  <w:r>
                    <w:rPr>
                      <w:rFonts w:ascii="仿宋_GB2312" w:hAnsi="仿宋_GB2312" w:cs="仿宋_GB2312" w:eastAsia="仿宋_GB2312"/>
                      <w:sz w:val="20"/>
                      <w:color w:val="000000"/>
                    </w:rPr>
                    <w:t>o植被指数：NDVI、EVI（红光-近红外）</w:t>
                  </w:r>
                  <w:r>
                    <w:br/>
                  </w:r>
                  <w:r>
                    <w:rPr>
                      <w:rFonts w:ascii="仿宋_GB2312" w:hAnsi="仿宋_GB2312" w:cs="仿宋_GB2312" w:eastAsia="仿宋_GB2312"/>
                      <w:sz w:val="20"/>
                      <w:color w:val="000000"/>
                    </w:rPr>
                    <w:t>o水分指数：NDWI（近红外-短波红外）</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作物分类</w:t>
                  </w:r>
                  <w:r>
                    <w:rPr>
                      <w:rFonts w:ascii="仿宋_GB2312" w:hAnsi="仿宋_GB2312" w:cs="仿宋_GB2312" w:eastAsia="仿宋_GB2312"/>
                      <w:sz w:val="20"/>
                      <w:color w:val="000000"/>
                    </w:rPr>
                    <w:t>-实地采样</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样点数量：每作物类型</w:t>
                  </w:r>
                  <w:r>
                    <w:rPr>
                      <w:rFonts w:ascii="仿宋_GB2312" w:hAnsi="仿宋_GB2312" w:cs="仿宋_GB2312" w:eastAsia="仿宋_GB2312"/>
                      <w:sz w:val="21"/>
                    </w:rPr>
                    <w:t xml:space="preserve"> </w:t>
                  </w:r>
                  <w:r>
                    <w:rPr>
                      <w:rFonts w:ascii="仿宋_GB2312" w:hAnsi="仿宋_GB2312" w:cs="仿宋_GB2312" w:eastAsia="仿宋_GB2312"/>
                      <w:sz w:val="20"/>
                      <w:color w:val="000000"/>
                    </w:rPr>
                    <w:t>≥50个（均匀分布）</w:t>
                  </w:r>
                  <w:r>
                    <w:br/>
                  </w:r>
                  <w:r>
                    <w:rPr>
                      <w:rFonts w:ascii="仿宋_GB2312" w:hAnsi="仿宋_GB2312" w:cs="仿宋_GB2312" w:eastAsia="仿宋_GB2312"/>
                      <w:sz w:val="20"/>
                      <w:color w:val="000000"/>
                    </w:rPr>
                    <w:t>定位精度：</w:t>
                  </w:r>
                  <w:r>
                    <w:rPr>
                      <w:rFonts w:ascii="仿宋_GB2312" w:hAnsi="仿宋_GB2312" w:cs="仿宋_GB2312" w:eastAsia="仿宋_GB2312"/>
                      <w:sz w:val="20"/>
                      <w:color w:val="000000"/>
                    </w:rPr>
                    <w:t>GPS-RTK测量（平面误差</w:t>
                  </w:r>
                  <w:r>
                    <w:rPr>
                      <w:rFonts w:ascii="仿宋_GB2312" w:hAnsi="仿宋_GB2312" w:cs="仿宋_GB2312" w:eastAsia="仿宋_GB2312"/>
                      <w:sz w:val="21"/>
                    </w:rPr>
                    <w:t xml:space="preserve"> </w:t>
                  </w:r>
                  <w:r>
                    <w:rPr>
                      <w:rFonts w:ascii="仿宋_GB2312" w:hAnsi="仿宋_GB2312" w:cs="仿宋_GB2312" w:eastAsia="仿宋_GB2312"/>
                      <w:sz w:val="20"/>
                      <w:color w:val="000000"/>
                    </w:rPr>
                    <w:t>≤5cm）</w:t>
                  </w:r>
                  <w:r>
                    <w:br/>
                  </w:r>
                  <w:r>
                    <w:rPr>
                      <w:rFonts w:ascii="仿宋_GB2312" w:hAnsi="仿宋_GB2312" w:cs="仿宋_GB2312" w:eastAsia="仿宋_GB2312"/>
                      <w:sz w:val="20"/>
                      <w:color w:val="000000"/>
                    </w:rPr>
                    <w:t>属性记录：作物品种、生长阶段、照片编号</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作物分类</w:t>
                  </w:r>
                  <w:r>
                    <w:rPr>
                      <w:rFonts w:ascii="仿宋_GB2312" w:hAnsi="仿宋_GB2312" w:cs="仿宋_GB2312" w:eastAsia="仿宋_GB2312"/>
                      <w:sz w:val="20"/>
                      <w:color w:val="000000"/>
                    </w:rPr>
                    <w:t>-光谱信息提取</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时间序列构建：按月合成</w:t>
                  </w:r>
                  <w:r>
                    <w:rPr>
                      <w:rFonts w:ascii="仿宋_GB2312" w:hAnsi="仿宋_GB2312" w:cs="仿宋_GB2312" w:eastAsia="仿宋_GB2312"/>
                      <w:sz w:val="20"/>
                      <w:color w:val="000000"/>
                    </w:rPr>
                    <w:t>0.5m级卫星数据（去云处理）</w:t>
                  </w:r>
                  <w:r>
                    <w:br/>
                  </w:r>
                  <w:r>
                    <w:rPr>
                      <w:rFonts w:ascii="仿宋_GB2312" w:hAnsi="仿宋_GB2312" w:cs="仿宋_GB2312" w:eastAsia="仿宋_GB2312"/>
                      <w:sz w:val="20"/>
                      <w:color w:val="000000"/>
                    </w:rPr>
                    <w:t>特征工程：</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o</w:t>
                  </w:r>
                  <w:r>
                    <w:rPr>
                      <w:rFonts w:ascii="仿宋_GB2312" w:hAnsi="仿宋_GB2312" w:cs="仿宋_GB2312" w:eastAsia="仿宋_GB2312"/>
                      <w:sz w:val="20"/>
                      <w:color w:val="000000"/>
                    </w:rPr>
                    <w:t>统计值：季度</w:t>
                  </w:r>
                  <w:r>
                    <w:rPr>
                      <w:rFonts w:ascii="仿宋_GB2312" w:hAnsi="仿宋_GB2312" w:cs="仿宋_GB2312" w:eastAsia="仿宋_GB2312"/>
                      <w:sz w:val="20"/>
                      <w:color w:val="000000"/>
                    </w:rPr>
                    <w:t>NDVI均值</w:t>
                  </w:r>
                  <w:r>
                    <w:rPr>
                      <w:rFonts w:ascii="仿宋_GB2312" w:hAnsi="仿宋_GB2312" w:cs="仿宋_GB2312" w:eastAsia="仿宋_GB2312"/>
                      <w:sz w:val="20"/>
                      <w:color w:val="000000"/>
                    </w:rPr>
                    <w:t>/</w:t>
                  </w:r>
                  <w:r>
                    <w:rPr>
                      <w:rFonts w:ascii="仿宋_GB2312" w:hAnsi="仿宋_GB2312" w:cs="仿宋_GB2312" w:eastAsia="仿宋_GB2312"/>
                      <w:sz w:val="20"/>
                      <w:color w:val="000000"/>
                    </w:rPr>
                    <w:t>标准差</w:t>
                  </w:r>
                  <w:r>
                    <w:br/>
                  </w:r>
                  <w:r>
                    <w:rPr>
                      <w:rFonts w:ascii="仿宋_GB2312" w:hAnsi="仿宋_GB2312" w:cs="仿宋_GB2312" w:eastAsia="仿宋_GB2312"/>
                      <w:sz w:val="20"/>
                      <w:color w:val="000000"/>
                    </w:rPr>
                    <w:t>o</w:t>
                  </w:r>
                  <w:r>
                    <w:rPr>
                      <w:rFonts w:ascii="仿宋_GB2312" w:hAnsi="仿宋_GB2312" w:cs="仿宋_GB2312" w:eastAsia="仿宋_GB2312"/>
                      <w:sz w:val="20"/>
                      <w:color w:val="000000"/>
                    </w:rPr>
                    <w:t>物候参数：生长季起始日（导数法检测）</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作物分类</w:t>
                  </w:r>
                  <w:r>
                    <w:rPr>
                      <w:rFonts w:ascii="仿宋_GB2312" w:hAnsi="仿宋_GB2312" w:cs="仿宋_GB2312" w:eastAsia="仿宋_GB2312"/>
                      <w:sz w:val="20"/>
                      <w:color w:val="000000"/>
                    </w:rPr>
                    <w:t>-光谱分析分类</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方法：随机森林（</w:t>
                  </w:r>
                  <w:r>
                    <w:rPr>
                      <w:rFonts w:ascii="仿宋_GB2312" w:hAnsi="仿宋_GB2312" w:cs="仿宋_GB2312" w:eastAsia="仿宋_GB2312"/>
                      <w:sz w:val="20"/>
                      <w:color w:val="000000"/>
                    </w:rPr>
                    <w:t>500棵树）+10折交叉验证</w:t>
                  </w:r>
                  <w:r>
                    <w:br/>
                  </w:r>
                  <w:r>
                    <w:rPr>
                      <w:rFonts w:ascii="仿宋_GB2312" w:hAnsi="仿宋_GB2312" w:cs="仿宋_GB2312" w:eastAsia="仿宋_GB2312"/>
                      <w:sz w:val="20"/>
                      <w:color w:val="000000"/>
                    </w:rPr>
                    <w:t>输入特征：</w:t>
                  </w:r>
                  <w:r>
                    <w:rPr>
                      <w:rFonts w:ascii="仿宋_GB2312" w:hAnsi="仿宋_GB2312" w:cs="仿宋_GB2312" w:eastAsia="仿宋_GB2312"/>
                      <w:sz w:val="20"/>
                      <w:color w:val="000000"/>
                    </w:rPr>
                    <w:t>12维（多时相NDVI+地形因子）</w:t>
                  </w:r>
                  <w:r>
                    <w:br/>
                  </w:r>
                  <w:r>
                    <w:rPr>
                      <w:rFonts w:ascii="仿宋_GB2312" w:hAnsi="仿宋_GB2312" w:cs="仿宋_GB2312" w:eastAsia="仿宋_GB2312"/>
                      <w:sz w:val="20"/>
                      <w:color w:val="000000"/>
                    </w:rPr>
                    <w:t>精度验证：总体精度</w:t>
                  </w:r>
                  <w:r>
                    <w:rPr>
                      <w:rFonts w:ascii="仿宋_GB2312" w:hAnsi="仿宋_GB2312" w:cs="仿宋_GB2312" w:eastAsia="仿宋_GB2312"/>
                      <w:sz w:val="20"/>
                      <w:color w:val="000000"/>
                    </w:rPr>
                    <w:t>OA≥85%，Kappa系数＞0.8</w:t>
                  </w:r>
                </w:p>
              </w:tc>
            </w:tr>
          </w:tbl>
          <w:tbl>
            <w:tblPr>
              <w:tblBorders>
                <w:top w:val="none" w:color="000000" w:sz="4"/>
                <w:left w:val="none" w:color="000000" w:sz="4"/>
                <w:bottom w:val="none" w:color="000000" w:sz="4"/>
                <w:right w:val="none" w:color="000000" w:sz="4"/>
                <w:insideH w:val="none"/>
                <w:insideV w:val="none"/>
              </w:tblBorders>
            </w:tblPr>
            <w:tblGrid>
              <w:gridCol w:w="286"/>
              <w:gridCol w:w="524"/>
              <w:gridCol w:w="1264"/>
              <w:gridCol w:w="465"/>
            </w:tblGrid>
            <w:tr>
              <w:tc>
                <w:tcPr>
                  <w:tcW w:type="dxa" w:w="2539"/>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4"/>
                      <w:color w:val="000000"/>
                    </w:rPr>
                    <w:t>遥感数据采集及分析工程量及技术要求</w:t>
                  </w: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2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功能点</w:t>
                  </w:r>
                </w:p>
              </w:tc>
              <w:tc>
                <w:tcPr>
                  <w:tcW w:type="dxa" w:w="126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功能描述</w:t>
                  </w:r>
                </w:p>
              </w:tc>
              <w:tc>
                <w:tcPr>
                  <w:tcW w:type="dxa" w:w="46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数量（平方公里）</w:t>
                  </w:r>
                </w:p>
              </w:tc>
            </w:tr>
            <w:tr>
              <w:tc>
                <w:tcPr>
                  <w:tcW w:type="dxa" w:w="286"/>
                  <w:vMerge/>
                  <w:tcBorders>
                    <w:top w:val="none" w:color="000000" w:sz="4"/>
                    <w:left w:val="single" w:color="000000" w:sz="4"/>
                    <w:bottom w:val="single" w:color="000000" w:sz="4"/>
                    <w:right w:val="single" w:color="000000" w:sz="4"/>
                  </w:tcBorders>
                </w:tcPr>
                <w:p/>
              </w:tc>
              <w:tc>
                <w:tcPr>
                  <w:tcW w:type="dxa" w:w="524"/>
                  <w:vMerge/>
                  <w:tcBorders>
                    <w:top w:val="single" w:color="000000" w:sz="4"/>
                    <w:left w:val="none" w:color="000000" w:sz="4"/>
                    <w:bottom w:val="single" w:color="000000" w:sz="4"/>
                    <w:right w:val="single" w:color="000000" w:sz="4"/>
                  </w:tcBorders>
                </w:tcPr>
                <w:p/>
              </w:tc>
              <w:tc>
                <w:tcPr>
                  <w:tcW w:type="dxa" w:w="1264"/>
                  <w:vMerge/>
                  <w:tcBorders>
                    <w:top w:val="single" w:color="000000" w:sz="4"/>
                    <w:left w:val="none" w:color="000000" w:sz="4"/>
                    <w:bottom w:val="single" w:color="000000" w:sz="4"/>
                    <w:right w:val="single" w:color="000000" w:sz="4"/>
                  </w:tcBorders>
                </w:tcPr>
                <w:p/>
              </w:tc>
              <w:tc>
                <w:tcPr>
                  <w:tcW w:type="dxa" w:w="465"/>
                  <w:vMerge/>
                  <w:tcBorders>
                    <w:top w:val="single" w:color="000000" w:sz="4"/>
                    <w:left w:val="none" w:color="000000" w:sz="4"/>
                    <w:bottom w:val="single" w:color="000000" w:sz="4"/>
                    <w:right w:val="single" w:color="000000" w:sz="4"/>
                  </w:tcBorders>
                </w:tcPr>
                <w:p/>
              </w:tc>
            </w:tr>
            <w:tr>
              <w:tc>
                <w:tcPr>
                  <w:tcW w:type="dxa" w:w="207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无人机测绘</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数据采集</w:t>
                  </w:r>
                </w:p>
              </w:tc>
              <w:tc>
                <w:tcPr>
                  <w:tcW w:type="dxa" w:w="1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利用无人机低空遥感技术，对商洛市进行高分辨率影像采集。根据测区地形和目标物特征，合理规划飞行高度、分辨率等参数，确保获取的影像清晰、准确。重点对作物种植区域、森林区域、养殖场和农村房屋集中区域进行详细拍摄，获取全方位、多角度的地理信息数据。</w:t>
                  </w:r>
                </w:p>
              </w:tc>
              <w:tc>
                <w:tcPr>
                  <w:tcW w:type="dxa" w:w="46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2939</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24"/>
                  <w:vMerge/>
                  <w:tcBorders>
                    <w:top w:val="none" w:color="000000" w:sz="4"/>
                    <w:left w:val="none" w:color="000000" w:sz="4"/>
                    <w:bottom w:val="single" w:color="000000" w:sz="4"/>
                    <w:right w:val="single" w:color="000000" w:sz="4"/>
                  </w:tcBorders>
                </w:tc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1、影像分辨率：根据测绘任务的需求，选择合适的影像分辨率。一般情况下，地面采样距离（GSD）应不大于5厘米，以获取足够的地面细节。</w:t>
                  </w:r>
                  <w:r>
                    <w:br/>
                  </w:r>
                  <w:r>
                    <w:rPr>
                      <w:rFonts w:ascii="仿宋_GB2312" w:hAnsi="仿宋_GB2312" w:cs="仿宋_GB2312" w:eastAsia="仿宋_GB2312"/>
                      <w:sz w:val="20"/>
                      <w:color w:val="000000"/>
                    </w:rPr>
                    <w:t>2、气象条件：选择在天气晴朗、风力较小的条件下进行飞行，以减少影像模糊和位置偏差。</w:t>
                  </w:r>
                  <w:r>
                    <w:br/>
                  </w:r>
                  <w:r>
                    <w:rPr>
                      <w:rFonts w:ascii="仿宋_GB2312" w:hAnsi="仿宋_GB2312" w:cs="仿宋_GB2312" w:eastAsia="仿宋_GB2312"/>
                      <w:sz w:val="20"/>
                      <w:color w:val="000000"/>
                    </w:rPr>
                    <w:t>3、数据完整性：确保采集的影像数据完整，无遗漏区域，覆盖整个测绘区域。</w:t>
                  </w:r>
                </w:p>
              </w:tc>
              <w:tc>
                <w:tcPr>
                  <w:tcW w:type="dxa" w:w="465"/>
                  <w:vMerge/>
                  <w:tcBorders>
                    <w:top w:val="single" w:color="000000" w:sz="4"/>
                    <w:left w:val="none" w:color="000000" w:sz="4"/>
                    <w:bottom w:val="single" w:color="000000" w:sz="4"/>
                    <w:right w:val="single" w:color="000000" w:sz="4"/>
                  </w:tcBorders>
                </w:tcPr>
                <w:p/>
              </w:tc>
            </w:tr>
            <w:tr>
              <w:tc>
                <w:tcPr>
                  <w:tcW w:type="dxa" w:w="207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卫星遥感数据获取</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数据获取</w:t>
                  </w:r>
                </w:p>
              </w:tc>
              <w:tc>
                <w:tcPr>
                  <w:tcW w:type="dxa" w:w="1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选择合适的高分辨率卫星，获取商洛市的多光谱遥感影像数据。卫星遥感数据作为无人机数据的补充，用于扩大监测范围和提供宏观的地理信息。</w:t>
                  </w:r>
                </w:p>
              </w:tc>
              <w:tc>
                <w:tcPr>
                  <w:tcW w:type="dxa" w:w="46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16656</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数据采集要求</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1、传感器选择：根据测绘任务的需求，选择合适的卫星传感器。例如，对于高分辨率的地理信息测绘，可以选择分辨率为0.8米的卫星。</w:t>
                  </w:r>
                  <w:r>
                    <w:br/>
                  </w:r>
                  <w:r>
                    <w:rPr>
                      <w:rFonts w:ascii="仿宋_GB2312" w:hAnsi="仿宋_GB2312" w:cs="仿宋_GB2312" w:eastAsia="仿宋_GB2312"/>
                      <w:sz w:val="20"/>
                      <w:color w:val="000000"/>
                    </w:rPr>
                    <w:t>2、数据类型：根据测绘内容和分析需求，选择多光谱或高光谱数据。多光谱数据通常包括红、绿、蓝、近红外等波段，适用于植被分析、土地利用分类等；高光谱数据具有更多的波段，能够提供更丰富的光谱信息，适用于精细的物质识别和环境监测。</w:t>
                  </w:r>
                  <w:r>
                    <w:br/>
                  </w:r>
                  <w:r>
                    <w:rPr>
                      <w:rFonts w:ascii="仿宋_GB2312" w:hAnsi="仿宋_GB2312" w:cs="仿宋_GB2312" w:eastAsia="仿宋_GB2312"/>
                      <w:sz w:val="20"/>
                      <w:color w:val="000000"/>
                    </w:rPr>
                    <w:t>3、数据时效性：选择近期的卫星影像数据，以确保数据的时效性和准确性。对于快速变化的地理信息，如农作物生长状况、森林火灾等，应选择最新获取的数据。</w:t>
                  </w:r>
                  <w:r>
                    <w:br/>
                  </w:r>
                  <w:r>
                    <w:rPr>
                      <w:rFonts w:ascii="仿宋_GB2312" w:hAnsi="仿宋_GB2312" w:cs="仿宋_GB2312" w:eastAsia="仿宋_GB2312"/>
                      <w:sz w:val="20"/>
                      <w:color w:val="000000"/>
                    </w:rPr>
                    <w:t>4、覆盖范围：确保卫星影像数据的覆盖范围完整，包含整个测绘区域。同时，要考虑数据的重叠情况，以便于数据拼接和处理。</w:t>
                  </w:r>
                </w:p>
              </w:tc>
              <w:tc>
                <w:tcPr>
                  <w:tcW w:type="dxa" w:w="465"/>
                  <w:vMerge/>
                  <w:tcBorders>
                    <w:top w:val="single" w:color="000000" w:sz="4"/>
                    <w:left w:val="none" w:color="000000" w:sz="4"/>
                    <w:bottom w:val="single" w:color="000000" w:sz="4"/>
                    <w:right w:val="single" w:color="000000" w:sz="4"/>
                  </w:tcBorders>
                </w:tcPr>
                <w:p/>
              </w:tc>
            </w:tr>
            <w:tr>
              <w:tc>
                <w:tcPr>
                  <w:tcW w:type="dxa" w:w="207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数据处理及分析</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数据预处理</w:t>
                  </w:r>
                </w:p>
              </w:tc>
              <w:tc>
                <w:tcPr>
                  <w:tcW w:type="dxa" w:w="1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对采集到的无人机和卫星遥感数据进行几何校正等预处理，消除数据中的误差和干扰，提高数据质量。</w:t>
                  </w:r>
                </w:p>
              </w:tc>
              <w:tc>
                <w:tcPr>
                  <w:tcW w:type="dxa" w:w="46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19595</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数据融合</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将无人机和卫星遥感数据进行融合，充分发挥两种数据的优势，获取更全面、准确的地理信息。融合后的数据能够提供更高分辨率和更丰富的光谱信息，有助于后续的解译和分析工作。</w:t>
                  </w:r>
                </w:p>
              </w:tc>
              <w:tc>
                <w:tcPr>
                  <w:tcW w:type="dxa" w:w="465"/>
                  <w:vMerge/>
                  <w:tcBorders>
                    <w:top w:val="single" w:color="000000" w:sz="4"/>
                    <w:left w:val="none" w:color="000000" w:sz="4"/>
                    <w:bottom w:val="single" w:color="000000" w:sz="4"/>
                    <w:right w:val="single" w:color="000000" w:sz="4"/>
                  </w:tcBorders>
                </w:tcP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数据解译与分析</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利用专业的图像解译软件和算法，结合外业调查数据，对融合后的遥感影像进行解译和分析。提取作物种植分布、森林分布、养殖场分布和农村房屋分布等信息，生成相应的专题数据图层。</w:t>
                  </w:r>
                </w:p>
              </w:tc>
              <w:tc>
                <w:tcPr>
                  <w:tcW w:type="dxa" w:w="465"/>
                  <w:vMerge/>
                  <w:tcBorders>
                    <w:top w:val="single" w:color="000000" w:sz="4"/>
                    <w:left w:val="none" w:color="000000" w:sz="4"/>
                    <w:bottom w:val="single" w:color="000000" w:sz="4"/>
                    <w:right w:val="single" w:color="000000" w:sz="4"/>
                  </w:tcBorders>
                </w:tcP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数据质量检查</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对处理后的数据进行全面的质量检查，包括数据的完整性、准确性、一致性和逻辑性等。检查数据是否存在遗漏、错误或不合理之处，确保数据质量符合项目要求。</w:t>
                  </w:r>
                </w:p>
              </w:tc>
              <w:tc>
                <w:tcPr>
                  <w:tcW w:type="dxa" w:w="465"/>
                  <w:vMerge/>
                  <w:tcBorders>
                    <w:top w:val="single" w:color="000000" w:sz="4"/>
                    <w:left w:val="none" w:color="000000" w:sz="4"/>
                    <w:bottom w:val="single" w:color="000000" w:sz="4"/>
                    <w:right w:val="single" w:color="000000" w:sz="4"/>
                  </w:tcBorders>
                </w:tcPr>
                <w:p/>
              </w:tc>
            </w:tr>
            <w:tr>
              <w:tc>
                <w:tcPr>
                  <w:tcW w:type="dxa" w:w="207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成果编制及应用</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制作商洛市承保资源一张图</w:t>
                  </w:r>
                </w:p>
              </w:tc>
              <w:tc>
                <w:tcPr>
                  <w:tcW w:type="dxa" w:w="1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将处理好的各类地理信息数据按照一定的规则和标准，整合到一起，形成商洛市承保资源一张图。该图以直观、清晰的方式展示作物种植、森林、养殖场和农村房屋的分布情况，为农业保险业务提供全面、准确的地理信息支持。</w:t>
                  </w:r>
                </w:p>
              </w:tc>
              <w:tc>
                <w:tcPr>
                  <w:tcW w:type="dxa" w:w="46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19595</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编写技术报告</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整个测绘项目的工作过程、技术方法、数据处理结果和质量控制情况进行详细总结和整理，编写技术报告。报告内容包括项目背景、目标、实施过程、技术参数、成果分析以及存在的问题和建议等，为后续工作提供参考和技术支持。</w:t>
                  </w:r>
                </w:p>
              </w:tc>
              <w:tc>
                <w:tcPr>
                  <w:tcW w:type="dxa" w:w="465"/>
                  <w:vMerge/>
                  <w:tcBorders>
                    <w:top w:val="single" w:color="000000" w:sz="4"/>
                    <w:left w:val="none" w:color="000000" w:sz="4"/>
                    <w:bottom w:val="single" w:color="000000" w:sz="4"/>
                    <w:right w:val="single" w:color="000000" w:sz="4"/>
                  </w:tcBorders>
                </w:tcP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成果应用</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将商洛市承保资源一张图和相关测绘成果应用于商洛精准承保财政监管系统中，为保险机构的承保、理赔、风险评估等工作提供科学依据。</w:t>
                  </w:r>
                </w:p>
              </w:tc>
              <w:tc>
                <w:tcPr>
                  <w:tcW w:type="dxa" w:w="465"/>
                  <w:vMerge/>
                  <w:tcBorders>
                    <w:top w:val="single" w:color="000000" w:sz="4"/>
                    <w:left w:val="none" w:color="000000" w:sz="4"/>
                    <w:bottom w:val="single" w:color="000000" w:sz="4"/>
                    <w:right w:val="single" w:color="000000" w:sz="4"/>
                  </w:tcBorders>
                </w:tcP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数据维护</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定期对商洛市的地理信息数据进行维护，确保数据的准确性。</w:t>
                  </w:r>
                </w:p>
              </w:tc>
              <w:tc>
                <w:tcPr>
                  <w:tcW w:type="dxa" w:w="465"/>
                  <w:vMerge/>
                  <w:tcBorders>
                    <w:top w:val="single" w:color="000000" w:sz="4"/>
                    <w:left w:val="none" w:color="000000" w:sz="4"/>
                    <w:bottom w:val="single" w:color="000000" w:sz="4"/>
                    <w:right w:val="single" w:color="000000" w:sz="4"/>
                  </w:tcBorders>
                </w:tcPr>
                <w:p/>
              </w:tc>
            </w:tr>
          </w:tbl>
          <w:p>
            <w:pPr>
              <w:pStyle w:val="null3"/>
              <w:ind w:firstLine="417"/>
              <w:jc w:val="both"/>
            </w:pPr>
            <w:r>
              <w:rPr>
                <w:rFonts w:ascii="仿宋_GB2312" w:hAnsi="仿宋_GB2312" w:cs="仿宋_GB2312" w:eastAsia="仿宋_GB2312"/>
                <w:sz w:val="21"/>
                <w:b/>
              </w:rPr>
              <w:t>四、服务要求（如对人员配置、专业设备、服务标准等）</w:t>
            </w:r>
          </w:p>
          <w:p>
            <w:pPr>
              <w:pStyle w:val="null3"/>
              <w:ind w:firstLine="417"/>
            </w:pPr>
            <w:r>
              <w:rPr>
                <w:rFonts w:ascii="仿宋_GB2312" w:hAnsi="仿宋_GB2312" w:cs="仿宋_GB2312" w:eastAsia="仿宋_GB2312"/>
                <w:sz w:val="21"/>
              </w:rPr>
              <w:t>项目人员数量</w:t>
            </w:r>
            <w:r>
              <w:rPr>
                <w:rFonts w:ascii="仿宋_GB2312" w:hAnsi="仿宋_GB2312" w:cs="仿宋_GB2312" w:eastAsia="仿宋_GB2312"/>
                <w:sz w:val="21"/>
              </w:rPr>
              <w:t>不低于</w:t>
            </w:r>
            <w:r>
              <w:rPr>
                <w:rFonts w:ascii="仿宋_GB2312" w:hAnsi="仿宋_GB2312" w:cs="仿宋_GB2312" w:eastAsia="仿宋_GB2312"/>
                <w:sz w:val="21"/>
              </w:rPr>
              <w:t>6人</w:t>
            </w:r>
            <w:r>
              <w:rPr>
                <w:rFonts w:ascii="仿宋_GB2312" w:hAnsi="仿宋_GB2312" w:cs="仿宋_GB2312" w:eastAsia="仿宋_GB2312"/>
                <w:sz w:val="21"/>
              </w:rPr>
              <w:t>，</w:t>
            </w:r>
            <w:r>
              <w:rPr>
                <w:rFonts w:ascii="仿宋_GB2312" w:hAnsi="仿宋_GB2312" w:cs="仿宋_GB2312" w:eastAsia="仿宋_GB2312"/>
                <w:sz w:val="21"/>
              </w:rPr>
              <w:t>且至少驻场</w:t>
            </w:r>
            <w:r>
              <w:rPr>
                <w:rFonts w:ascii="仿宋_GB2312" w:hAnsi="仿宋_GB2312" w:cs="仿宋_GB2312" w:eastAsia="仿宋_GB2312"/>
                <w:sz w:val="21"/>
              </w:rPr>
              <w:t>1人。并保持</w:t>
            </w:r>
            <w:r>
              <w:rPr>
                <w:rFonts w:ascii="仿宋_GB2312" w:hAnsi="仿宋_GB2312" w:cs="仿宋_GB2312" w:eastAsia="仿宋_GB2312"/>
                <w:sz w:val="21"/>
              </w:rPr>
              <w:t>结构恰当，职责分工明确，为本项目实施提供履行合同必需的设备和专业技术人员。</w:t>
            </w:r>
          </w:p>
          <w:p>
            <w:pPr>
              <w:pStyle w:val="null3"/>
              <w:spacing w:before="315"/>
              <w:ind w:firstLine="420"/>
              <w:jc w:val="both"/>
            </w:pPr>
            <w:r>
              <w:rPr>
                <w:rFonts w:ascii="仿宋_GB2312" w:hAnsi="仿宋_GB2312" w:cs="仿宋_GB2312" w:eastAsia="仿宋_GB2312"/>
                <w:sz w:val="21"/>
                <w:b/>
              </w:rPr>
              <w:t>五、商务要求（如服务期限、款项结算等）</w:t>
            </w:r>
          </w:p>
          <w:p>
            <w:pPr>
              <w:pStyle w:val="null3"/>
              <w:ind w:firstLine="417"/>
              <w:jc w:val="both"/>
            </w:pPr>
            <w:r>
              <w:rPr>
                <w:rFonts w:ascii="仿宋_GB2312" w:hAnsi="仿宋_GB2312" w:cs="仿宋_GB2312" w:eastAsia="仿宋_GB2312"/>
                <w:sz w:val="21"/>
              </w:rPr>
              <w:t>1、服务期</w:t>
            </w:r>
            <w:r>
              <w:rPr>
                <w:rFonts w:ascii="仿宋_GB2312" w:hAnsi="仿宋_GB2312" w:cs="仿宋_GB2312" w:eastAsia="仿宋_GB2312"/>
                <w:sz w:val="21"/>
              </w:rPr>
              <w:t>/工期</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建设工期为自合同签订后不超过</w:t>
            </w:r>
            <w:r>
              <w:rPr>
                <w:rFonts w:ascii="仿宋_GB2312" w:hAnsi="仿宋_GB2312" w:cs="仿宋_GB2312" w:eastAsia="仿宋_GB2312"/>
                <w:sz w:val="21"/>
              </w:rPr>
              <w:t>3个月，服务期为自合同签订后3年。（首年运维需包含在建设费用中，次年及第三年费用另行签订）</w:t>
            </w:r>
          </w:p>
          <w:p>
            <w:pPr>
              <w:pStyle w:val="null3"/>
              <w:ind w:firstLine="417"/>
              <w:jc w:val="both"/>
            </w:pPr>
            <w:r>
              <w:rPr>
                <w:rFonts w:ascii="仿宋_GB2312" w:hAnsi="仿宋_GB2312" w:cs="仿宋_GB2312" w:eastAsia="仿宋_GB2312"/>
                <w:sz w:val="21"/>
              </w:rPr>
              <w:t>2、款项结算：</w:t>
            </w:r>
            <w:r>
              <w:rPr>
                <w:rFonts w:ascii="仿宋_GB2312" w:hAnsi="仿宋_GB2312" w:cs="仿宋_GB2312" w:eastAsia="仿宋_GB2312"/>
                <w:sz w:val="21"/>
              </w:rPr>
              <w:t>合同签订后支付预付款（比例为总金额</w:t>
            </w:r>
            <w:r>
              <w:rPr>
                <w:rFonts w:ascii="仿宋_GB2312" w:hAnsi="仿宋_GB2312" w:cs="仿宋_GB2312" w:eastAsia="仿宋_GB2312"/>
                <w:sz w:val="21"/>
              </w:rPr>
              <w:t>30%）；硬件、系统、数据完成建设并经正式验收后支付验收款（比例为总金额60%）；首年运维期结束后支付运维款（比例为总金额10%）。</w:t>
            </w:r>
          </w:p>
          <w:p>
            <w:pPr>
              <w:pStyle w:val="null3"/>
              <w:ind w:firstLine="417"/>
              <w:jc w:val="both"/>
            </w:pPr>
            <w:r>
              <w:rPr>
                <w:rFonts w:ascii="仿宋_GB2312" w:hAnsi="仿宋_GB2312" w:cs="仿宋_GB2312" w:eastAsia="仿宋_GB2312"/>
                <w:sz w:val="21"/>
                <w:b/>
              </w:rPr>
              <w:t>六、其他（如有要求，请写明）</w:t>
            </w:r>
          </w:p>
          <w:p>
            <w:pPr>
              <w:pStyle w:val="null3"/>
              <w:ind w:firstLine="417"/>
              <w:jc w:val="both"/>
            </w:pPr>
            <w:r>
              <w:rPr>
                <w:rFonts w:ascii="仿宋_GB2312" w:hAnsi="仿宋_GB2312" w:cs="仿宋_GB2312" w:eastAsia="仿宋_GB2312"/>
                <w:sz w:val="21"/>
              </w:rPr>
              <w:t>违约责任及其他</w:t>
            </w:r>
          </w:p>
          <w:p>
            <w:pPr>
              <w:pStyle w:val="null3"/>
              <w:ind w:firstLine="417"/>
              <w:jc w:val="both"/>
            </w:pPr>
            <w:r>
              <w:rPr>
                <w:rFonts w:ascii="仿宋_GB2312" w:hAnsi="仿宋_GB2312" w:cs="仿宋_GB2312" w:eastAsia="仿宋_GB2312"/>
                <w:sz w:val="21"/>
              </w:rPr>
              <w:t>（一）按《中华人民共和国民法典》中的相关条款执行。</w:t>
            </w:r>
          </w:p>
          <w:p>
            <w:pPr>
              <w:pStyle w:val="null3"/>
              <w:ind w:firstLine="417"/>
              <w:jc w:val="both"/>
            </w:pPr>
            <w:r>
              <w:rPr>
                <w:rFonts w:ascii="仿宋_GB2312" w:hAnsi="仿宋_GB2312" w:cs="仿宋_GB2312" w:eastAsia="仿宋_GB2312"/>
                <w:sz w:val="21"/>
              </w:rPr>
              <w:t>（二）乙方未按合同要求提供，质量不能满足技术要求的，甲方有权解除合同（合同自书面解除通知到达乙方之日起解除），乙方赔偿甲方解除合同的全部损失（包括但不限于重新采购产生的费用及其它由此造成的甲方对第三方的违约损失），并按照合同最高执行总价的</w:t>
            </w:r>
            <w:r>
              <w:rPr>
                <w:rFonts w:ascii="仿宋_GB2312" w:hAnsi="仿宋_GB2312" w:cs="仿宋_GB2312" w:eastAsia="仿宋_GB2312"/>
                <w:sz w:val="21"/>
              </w:rPr>
              <w:t>30%支付违约金，同时按《政府采购法》有关处罚条款报监管机构进行相应的处罚。</w:t>
            </w:r>
          </w:p>
          <w:p>
            <w:pPr>
              <w:pStyle w:val="null3"/>
              <w:ind w:firstLine="417"/>
              <w:jc w:val="both"/>
            </w:pPr>
            <w:r>
              <w:rPr>
                <w:rFonts w:ascii="仿宋_GB2312" w:hAnsi="仿宋_GB2312" w:cs="仿宋_GB2312" w:eastAsia="仿宋_GB2312"/>
                <w:sz w:val="21"/>
              </w:rPr>
              <w:t>（三）服务期内，乙方每推迟或未提供服务</w:t>
            </w:r>
            <w:r>
              <w:rPr>
                <w:rFonts w:ascii="仿宋_GB2312" w:hAnsi="仿宋_GB2312" w:cs="仿宋_GB2312" w:eastAsia="仿宋_GB2312"/>
                <w:sz w:val="21"/>
              </w:rPr>
              <w:t>1天，支付合同最高执行总价的3‰作为违约金。累计超过15天的，视为乙方根本违约，甲方有权单方解除合同（合同自书面解除通知送达乙方之日起解除），乙方应赔偿解除合同给甲方造成的全部损失（包括但不限于重新采购产生的费用、合同未履行导致项目不能按规划提供可能产生的服务费用），乙方应按照合同最高执行总价的30%承担违约金，若违约金不足以弥补甲方损失的，由乙方另行支付。</w:t>
            </w:r>
          </w:p>
          <w:p>
            <w:pPr>
              <w:pStyle w:val="null3"/>
              <w:ind w:firstLine="417"/>
              <w:jc w:val="both"/>
            </w:pPr>
            <w:r>
              <w:rPr>
                <w:rFonts w:ascii="仿宋_GB2312" w:hAnsi="仿宋_GB2312" w:cs="仿宋_GB2312" w:eastAsia="仿宋_GB2312"/>
                <w:sz w:val="21"/>
              </w:rPr>
              <w:t>争议解决</w:t>
            </w:r>
          </w:p>
          <w:p>
            <w:pPr>
              <w:pStyle w:val="null3"/>
              <w:ind w:firstLine="420"/>
              <w:jc w:val="both"/>
            </w:pPr>
            <w:r>
              <w:rPr>
                <w:rFonts w:ascii="仿宋_GB2312" w:hAnsi="仿宋_GB2312" w:cs="仿宋_GB2312" w:eastAsia="仿宋_GB2312"/>
                <w:sz w:val="21"/>
              </w:rPr>
              <w:t>双方应本着友好协商的原则解决争议。如协商不成时，任何一方均可就争议的事宜向甲方所在地人民法院进行诉讼解决。</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硬件、系统、数据完成建设并经正式验收后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首年运维期结束后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供应商资格证明文件.docx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供应商资格证明文件.docx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法定代表人直接参加投标的，须提供法定代表人身份证明(附法人身份证复印件，法人身份证原件备查）；法定代表人授权代表参加投标的，须提供法定代表人授权委托书(附法人及被授权人身份证复印件）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提供截止至开标时间前一年内任意一个月的缴费凭据；（依法免税的供应商应提供相关文件证明）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提供截止至开标时间前一年内任意一个月的社保缴费凭据或社保机构开具的社会保险参保缴费情况证明；（依法不需要缴纳社会保障资金的供应商应提供相关证明）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提供具有履行本合同所必需的设备和专业技术能力的说明及承诺；（提供书面说明及承诺，加盖供应商电子章）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提供参加政府采购活动前三年内在经营活动中没有重大违法记录的书面声明。（提供书面声明，加盖供应商电子章）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供应商须具备国家测绘行政主管部门颁发的乙级及以上测绘资质（专业需包含：摄影测量与遥感）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现场系统查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单位负责人为同一人或者存在直接控股、管理关系的不同供应商，不得参加同一合同项下的政府采购活动（提供书面声明，加盖供应商电子章）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残疾人福利性单位声明函 中小企业声明函 供应商资格证明文件.docx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供应商资格证明文件.docx 服务方案.docx 监狱企业的证明文件 分项报价表.pdf 服务内容及商务条款应答表.docx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至少以下三处的项目名称、项目编号、标段与本项目一致： （1）竞争性磋商响应文件封面（2）响应函 （3）法定代表人（主要负责人）委托授权书\身份证明</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供应商资格证明文件.docx 服务方案.docx 监狱企业的证明文件 分项报价表.pdf 服务内容及商务条款应答表.docx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投标文件应包含招标文件要求的所有内容</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供应商资格证明文件.docx 服务方案.docx 监狱企业的证明文件 分项报价表.pdf 服务内容及商务条款应答表.docx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签章或盖章符合招标文件要求，实质性内容无遗漏</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供应商资格证明文件.docx 服务方案.docx 监狱企业的证明文件 分项报价表.pdf 服务内容及商务条款应答表.docx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供应商资格证明文件.docx 服务方案.docx 监狱企业的证明文件 分项报价表.pdf 服务内容及商务条款应答表.docx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供应商资格证明文件.docx 服务方案.docx 监狱企业的证明文件 分项报价表.pdf 服务内容及商务条款应答表.docx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（2）未超出采购预算或最高限价</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供应商资格证明文件.docx 服务方案.docx 监狱企业的证明文件 分项报价表.pdf 服务内容及商务条款应答表.docx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完全响应招标文件要求的各项技术（服务）、商务实质性条款</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供应商资格证明文件.docx 服务方案.docx 监狱企业的证明文件 分项报价表.pdf 服务内容及商务条款应答表.docx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供应商资格证明文件.docx 服务方案.docx 监狱企业的证明文件 分项报价表.pdf 服务内容及商务条款应答表.docx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供应商资格证明文件.docx 服务方案.docx 监狱企业的证明文件 分项报价表.pdf 服务内容及商务条款应答表.docx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评审内容：供应商根据采购人现状和需求，提供详细的平台设计方案，主要包括①设计目标②建设必要性③设计现状分析④设计建设内容等，且为专门针对本项目、符合本项目实际需求的得10分，每缺少一项内容，或内容明显错误，或内容非专门针对本项目，或内容不能满足本项目实际需求的每一项扣1-2分，扣完为止，未提及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建设及服务方案</w:t>
            </w:r>
          </w:p>
        </w:tc>
        <w:tc>
          <w:tcPr>
            <w:tcW w:type="dxa" w:w="2492"/>
          </w:tcPr>
          <w:p>
            <w:pPr>
              <w:pStyle w:val="null3"/>
            </w:pPr>
            <w:r>
              <w:rPr>
                <w:rFonts w:ascii="仿宋_GB2312" w:hAnsi="仿宋_GB2312" w:cs="仿宋_GB2312" w:eastAsia="仿宋_GB2312"/>
              </w:rPr>
              <w:t>评审内容：供应商应提供符合项目采购需求的详细建设及服务方案。主要包括①总体建设方案②进度计划安排③服务保障措施④项目管理要求⑤安装调试测试⑥文件归档管理⑧敏感信息处理措施等，且为专门针对本项目、符合本项目实际需求的得20分，每缺少一项内容，或内容明显错误，或内容非专门针对本项目，或内容不能满足本项目实际需求的每一项扣1-2分，扣完为止，未提及此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成果的质量保障措施</w:t>
            </w:r>
          </w:p>
        </w:tc>
        <w:tc>
          <w:tcPr>
            <w:tcW w:type="dxa" w:w="2492"/>
          </w:tcPr>
          <w:p>
            <w:pPr>
              <w:pStyle w:val="null3"/>
            </w:pPr>
            <w:r>
              <w:rPr>
                <w:rFonts w:ascii="仿宋_GB2312" w:hAnsi="仿宋_GB2312" w:cs="仿宋_GB2312" w:eastAsia="仿宋_GB2312"/>
              </w:rPr>
              <w:t>评审内容：供应商根据本项目要求的成果资料，提供详细的质量保证磋商，主要包括①承保资源图的质量保障②技术报告的质量保障③成果应用的质量保障等，且为专门针对本项目、符合本项目实际需求的得10分，每缺少一项内容，或内容明显错误，或内容非专门针对本项目，或内容不能满足本项目实际需求的每一项扣1-2分，扣完为止，未提及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售后运维及数据服务</w:t>
            </w:r>
          </w:p>
        </w:tc>
        <w:tc>
          <w:tcPr>
            <w:tcW w:type="dxa" w:w="2492"/>
          </w:tcPr>
          <w:p>
            <w:pPr>
              <w:pStyle w:val="null3"/>
            </w:pPr>
            <w:r>
              <w:rPr>
                <w:rFonts w:ascii="仿宋_GB2312" w:hAnsi="仿宋_GB2312" w:cs="仿宋_GB2312" w:eastAsia="仿宋_GB2312"/>
              </w:rPr>
              <w:t>评审内容：供应商应提供详细的运维及数据服务方案，主要包括①服务承诺及条款②售后响应方案③质保外服务措施④拟投入售后服务人员配置情况（售后人员不少于3名，包含软件部分、硬件部分、数据部分售后人员，须提供投标截止时间前近三个月的社保缴费证明，未提供或提供不全的不得分）等，且为专门针对本项目、符合本项目实际需求的得6分，每缺少一项内容，或内容明显错误，或内容非专门针对本项目，或内容不能满足本项目实际需求的每一项扣1-1.5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岗位及人员配置</w:t>
            </w:r>
          </w:p>
        </w:tc>
        <w:tc>
          <w:tcPr>
            <w:tcW w:type="dxa" w:w="2492"/>
          </w:tcPr>
          <w:p>
            <w:pPr>
              <w:pStyle w:val="null3"/>
            </w:pPr>
            <w:r>
              <w:rPr>
                <w:rFonts w:ascii="仿宋_GB2312" w:hAnsi="仿宋_GB2312" w:cs="仿宋_GB2312" w:eastAsia="仿宋_GB2312"/>
              </w:rPr>
              <w:t>1、为本项目配置的核心技术人员不少于6人，其中驻场人员不少于1人，满足基本要求得基本分2分。每增加一人，加1分，最多加5分。 2、为本项目配备人员：具备1名中级及以上农业相关专业职称证书，得1分，最多得2分；具有1名中级及以上测绘工程或地理学相关专业职称证书，得1分，最多得2分；具有1名初级及以上人工智能或大数据相关证书人员，得1分，最多得2分； 3、为本项目配备人员：提供3名（含）以上 持有中国民用航空局（CAAC）颁发的有效民用无人机驾驶员执照（或根据民航局规定无需持证的超视距驾驶员）的，得3分；提供 1-2名持证驾驶员的，得1分；未提供或不符合要求的，得0分。 注:以上人员应为供应商的正式员工，需提供团队人员包括但不限于身份证复印件、毕业证、职称证书、技能证书、供应商为其缴纳的最近三个月及以上的社保证明等。）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为完成本项目拟投入的设备</w:t>
            </w:r>
          </w:p>
        </w:tc>
        <w:tc>
          <w:tcPr>
            <w:tcW w:type="dxa" w:w="2492"/>
          </w:tcPr>
          <w:p>
            <w:pPr>
              <w:pStyle w:val="null3"/>
            </w:pPr>
            <w:r>
              <w:rPr>
                <w:rFonts w:ascii="仿宋_GB2312" w:hAnsi="仿宋_GB2312" w:cs="仿宋_GB2312" w:eastAsia="仿宋_GB2312"/>
              </w:rPr>
              <w:t>1、拟本项目投入不少于5套无人机系统，且其设备性能能够满足以下核心作业要求的，得基本分8分。数量、参数不满足或材料不全的扣1分，扣完为止。 注：基本作业要求（1）飞行速度20米/秒，抗风速度12米/秒，续航时间大于等于40分钟，续航里程大于等于30km，带三轴云台，带RTK模块、可见光相机有效像素2000万（提供如产品官方彩页、检测报告、技术白皮书、产品说明书等）；（2）专业无人机设备需提供购置发票复印件。 2、供应商具有中国民用航空局颁发的、在有效期内的《民用无人驾驶航空器运营合格证》，得2分。未提供或不符合要求的，得0分。（注：需提供证书复印件或扫描件）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 xml:space="preserve">近三年（2022年10月至今）承担过类似技术服务的业绩，每提供一个得2分，最多得10分。 说明：业绩认定时间以合同签订时间为准。须提供服务合同关键页（包括合同首页、签章页、服务内容范围页）复印件。“类似技术服务项目”是指：综合运用无人机遥感、地理信息系统、农业技术及数据分析等手段，为农业种植面积统计、产量预估、灾害评估、保险勘查等提供技术服务的项目。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供应商应提供针对本项目制定可行有效的培训方案，主要包括①整套培训计划②培训内容③培训课程安排，且为专门针对本项目、符合本项目实际需求的得8分，每缺少一项内容，或内容明显错误，或内容非专门针对本项目，或内容不能满足本项目实际需求的每一项扣1-2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经资格审查、符合性审查合格的投标文件，其最低有效报价得10分。以本次最低有效投标报价为基准价，投标报价得分=(基准价÷投标报价)×10。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分项报价表.pdf</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详见附件：服务内容及商务条款应答表.docx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详见附件：合同（定稿）.docx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