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版本号：GZJY-SL-20255920251104001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商州区人民法院夜村法庭功能提升改造工程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GZJY-SL-202559</w:t>
      </w:r>
      <w:r>
        <w:br/>
      </w:r>
      <w:r>
        <w:br/>
      </w:r>
      <w:r>
        <w:br/>
      </w:r>
    </w:p>
    <w:p>
      <w:pPr>
        <w:pStyle w:val="null3"/>
        <w:jc w:val="center"/>
        <w:outlineLvl w:val="2"/>
      </w:pPr>
      <w:r>
        <w:rPr>
          <w:rFonts w:ascii="仿宋_GB2312" w:hAnsi="仿宋_GB2312" w:cs="仿宋_GB2312" w:eastAsia="仿宋_GB2312"/>
          <w:sz w:val="28"/>
          <w:b/>
        </w:rPr>
        <w:t>商洛市商州区人民法院</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商洛市商州区人民法院</w:t>
      </w:r>
      <w:r>
        <w:rPr>
          <w:rFonts w:ascii="仿宋_GB2312" w:hAnsi="仿宋_GB2312" w:cs="仿宋_GB2312" w:eastAsia="仿宋_GB2312"/>
        </w:rPr>
        <w:t>委托，拟对</w:t>
      </w:r>
      <w:r>
        <w:rPr>
          <w:rFonts w:ascii="仿宋_GB2312" w:hAnsi="仿宋_GB2312" w:cs="仿宋_GB2312" w:eastAsia="仿宋_GB2312"/>
        </w:rPr>
        <w:t>商州区人民法院夜村法庭功能提升改造工程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GZJY-SL-202559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商州区人民法院夜村法庭功能提升改造工程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本项目为商州区人民法院夜村法庭功能提升改造工程，主要包含室内防水、补漏改造工程、土建工程、给排水及电器工程等。具体要求详见磋商文件及采购工程量清单。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采购包1（商州区人民法院夜村法庭功能提升改造工程）：属于专门面向中小企业采购。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w:t>
      </w:r>
    </w:p>
    <w:p>
      <w:pPr>
        <w:pStyle w:val="null3"/>
      </w:pPr>
      <w:r>
        <w:rPr>
          <w:rFonts w:ascii="仿宋_GB2312" w:hAnsi="仿宋_GB2312" w:cs="仿宋_GB2312" w:eastAsia="仿宋_GB2312"/>
        </w:rPr>
        <w:t>2、授权委托：法定代表人直接参与投标时须提供身份证原件及复印件加盖公章;被授权人参与投标时须出示身份证原件，提供法定代表人授权委托书(附法定代表人及被委托人身份证复印件并加盖公章):</w:t>
      </w:r>
    </w:p>
    <w:p>
      <w:pPr>
        <w:pStyle w:val="null3"/>
      </w:pPr>
      <w:r>
        <w:rPr>
          <w:rFonts w:ascii="仿宋_GB2312" w:hAnsi="仿宋_GB2312" w:cs="仿宋_GB2312" w:eastAsia="仿宋_GB2312"/>
        </w:rPr>
        <w:t>3、行业资质要求：供应商应具备建筑工程施工总承包三级及以上资质。并在人员、设备、资金等方面 具备相应的施工能力,且具备合法有效的安全生产许可证；拟派项目经理具备合法有效的相应专业二级及以上注册建造师资质且具备合法有效的安全生产考核合格证 （安全B证），且未担任其他在建项目的项目经理（附承诺书）；</w:t>
      </w:r>
    </w:p>
    <w:p>
      <w:pPr>
        <w:pStyle w:val="null3"/>
      </w:pPr>
      <w:r>
        <w:rPr>
          <w:rFonts w:ascii="仿宋_GB2312" w:hAnsi="仿宋_GB2312" w:cs="仿宋_GB2312" w:eastAsia="仿宋_GB2312"/>
        </w:rPr>
        <w:t>4、信用截图：供应商不得在“信用中国”网站（www.creditchina.gov.cn）中被列入失信被执行 人和重大税收违法案件当事人名单，不得在中国政府采购网（www.ccgp.gov.cn ）政府采购严重违法失信行为记录名单中被财政部门禁止参加政府采购活动，（提 供查询结果网页截图并加盖供应商公章）；</w:t>
      </w:r>
    </w:p>
    <w:p>
      <w:pPr>
        <w:pStyle w:val="null3"/>
      </w:pPr>
      <w:r>
        <w:rPr>
          <w:rFonts w:ascii="仿宋_GB2312" w:hAnsi="仿宋_GB2312" w:cs="仿宋_GB2312" w:eastAsia="仿宋_GB2312"/>
        </w:rPr>
        <w:t>5、书面声明：参加政府采购活动近三年在经营活动中没有重大违法记录的书面声明；</w:t>
      </w:r>
    </w:p>
    <w:p>
      <w:pPr>
        <w:pStyle w:val="null3"/>
      </w:pPr>
      <w:r>
        <w:rPr>
          <w:rFonts w:ascii="仿宋_GB2312" w:hAnsi="仿宋_GB2312" w:cs="仿宋_GB2312" w:eastAsia="仿宋_GB2312"/>
        </w:rPr>
        <w:t>6、项目经理：拟派项目经理具备相应的专业二级及以上注册建造师资质及合法有效的安全生产考核合格证（安全B证），且未担任其他在建项目（附承诺书）；</w:t>
      </w:r>
    </w:p>
    <w:p>
      <w:pPr>
        <w:pStyle w:val="null3"/>
      </w:pPr>
      <w:r>
        <w:rPr>
          <w:rFonts w:ascii="仿宋_GB2312" w:hAnsi="仿宋_GB2312" w:cs="仿宋_GB2312" w:eastAsia="仿宋_GB2312"/>
        </w:rPr>
        <w:t>7、保证金缴纳：提供本项目磋商保证金交纳凭证。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商洛市商州区人民法院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陕西省商洛市商州区向阳路南段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18192551122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商洛市商郡城北门3＃楼二单元101室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13209142772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采购包1：978,840.96元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开户名称：中国银行股份有限公司商洛分行</w:t>
            </w:r>
          </w:p>
          <w:p>
            <w:pPr>
              <w:pStyle w:val="null3"/>
            </w:pPr>
            <w:r>
              <w:rPr>
                <w:rFonts w:ascii="仿宋_GB2312" w:hAnsi="仿宋_GB2312" w:cs="仿宋_GB2312" w:eastAsia="仿宋_GB2312"/>
              </w:rPr>
              <w:t>开户银行：国正聚源工程咨询集团有限公司商洛分公司</w:t>
            </w:r>
          </w:p>
          <w:p>
            <w:pPr>
              <w:pStyle w:val="null3"/>
            </w:pPr>
            <w:r>
              <w:rPr>
                <w:rFonts w:ascii="仿宋_GB2312" w:hAnsi="仿宋_GB2312" w:cs="仿宋_GB2312" w:eastAsia="仿宋_GB2312"/>
              </w:rPr>
              <w:t>银行账号：102092095107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代理服务费收费标准：照国家发展计划委员会计价格[2002]1980号文件及国家发展改革委员会办公厅颁发的《关于招标代理服务收费有关问题的通知》（发改办价格[2003]857号）规定的服务标准收取。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商洛市商州区人民法院</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商洛市商州区人民法院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商洛市商州区人民法院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满足行业规范、图纸设计并达到采购人需求。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联系人：林霄</w:t>
      </w:r>
    </w:p>
    <w:p>
      <w:pPr>
        <w:pStyle w:val="null3"/>
      </w:pPr>
      <w:r>
        <w:rPr>
          <w:rFonts w:ascii="仿宋_GB2312" w:hAnsi="仿宋_GB2312" w:cs="仿宋_GB2312" w:eastAsia="仿宋_GB2312"/>
        </w:rPr>
        <w:t>联系电话：1320142772</w:t>
      </w:r>
    </w:p>
    <w:p>
      <w:pPr>
        <w:pStyle w:val="null3"/>
      </w:pPr>
      <w:r>
        <w:rPr>
          <w:rFonts w:ascii="仿宋_GB2312" w:hAnsi="仿宋_GB2312" w:cs="仿宋_GB2312" w:eastAsia="仿宋_GB2312"/>
        </w:rPr>
        <w:t>地址：商洛市商郡城北门3＃楼二单元101室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978,840.96</w:t>
      </w:r>
    </w:p>
    <w:p>
      <w:pPr>
        <w:pStyle w:val="null3"/>
      </w:pPr>
      <w:r>
        <w:rPr>
          <w:rFonts w:ascii="仿宋_GB2312" w:hAnsi="仿宋_GB2312" w:cs="仿宋_GB2312" w:eastAsia="仿宋_GB2312"/>
        </w:rPr>
        <w:t>采购包最高限价（元）: 978,840.96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防水、补漏</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978,840.96</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标的名称：防水、补漏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执行国家现行的技术标准、施工验收规范及质量检验评定标准，以及材料、设备所涉及的现行国家、省、市或行业的工程建设标准、规范的要求。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执行国家现行的技术标准、施工验收规范及质量检验评定标准，以及材料、设备所涉及的现行国家、省、市或行业的工程建设标准、规范的要求。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线下提交响应文件正本壹份、副本贰份、电子版一份（U盘一份）。（1）提交纸质版响应文件截止时间及开标时间：2025年11月18日下午14时30分00秒（北京时间）；（2）提交纸质版响应文件地点：商洛市商郡城北门3＃楼2单元101室；（3）提交纸质版响应文件密封要求：投标文件正本一个封袋、副本一个封袋、电子版文件放置正本封袋内，电子版文件须粘贴注明投标人名称的标签。 2、其他补充内容：（1）本工程发包方式为施工总承包。采用工程量清单计价模式下的固定综合单价合同。按《陕西省建设工程工程量清单计价规则（2025）》计价；安全及文明施工措施费属不可竞争费用，按规定费率计入报价。综合人工费调整按陕建发【2021】1097号《关于调整房屋建筑和市政基础设施工程工程量清单计价综合人工单价的通知》执行；（2）评标办法采用综合评估法； （3）投标报价采用广联达计价软件GCCP7.0（版本号：陕西地区7.2000.23.1）。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2024年度经审计的财务报告(包含审计报告和审计报告中所涉及的财务报表和报表附注)，②或提供截至资格预审申请文件提交截止日一年内银行出具的资信证明，③供应商注册时间截至资格预审申请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法定代表人直接参与投标时须提供身份证原件及复印件加盖公章;被授权人参与投标时须出示身份证原件，提供法定代表人授权委托书(附法定代表人及被委托人身份证复印件并加盖公章):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供应商应具备建筑工程施工总承包三级及以上资质。并在人员、设备、资金等方面 具备相应的施工能力,且具备合法有效的安全生产许可证；拟派项目经理具备合法有效的相应专业二级及以上注册建造师资质且具备合法有效的安全生产考核合格证 （安全B证），且未担任其他在建项目的项目经理（附承诺书）；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供应商不得在“信用中国”网站（www.creditchina.gov.cn）中被列入失信被执行 人和重大税收违法案件当事人名单，不得在中国政府采购网（www.ccgp.gov.cn ）政府采购严重违法失信行为记录名单中被财政部门禁止参加政府采购活动，（提 供查询结果网页截图并加盖供应商公章）；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参加政府采购活动近三年在经营活动中没有重大违法记录的书面声明；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拟派项目经理具备相应的专业二级及以上注册建造师资质及合法有效的安全生产考核合格证（安全B证），且未担任其他在建项目（附承诺书）；</w:t>
            </w:r>
          </w:p>
        </w:tc>
        <w:tc>
          <w:tcPr>
            <w:tcW w:type="dxa" w:w="1661"/>
          </w:tcPr>
          <w:p>
            <w:pPr>
              <w:pStyle w:val="null3"/>
            </w:pPr>
            <w:r>
              <w:rPr>
                <w:rFonts w:ascii="仿宋_GB2312" w:hAnsi="仿宋_GB2312" w:cs="仿宋_GB2312" w:eastAsia="仿宋_GB2312"/>
              </w:rPr>
              <w:t>项目管理机构组成表 响应函 主要人员简历表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提供本项目磋商保证金交纳凭证。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响应文件上法定代表人或其授权代表人的签字齐全并加盖电子公章。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1.职称（4分）：高级职称得4分，中级职称得3分，初级职称得2分。 2.业绩：（4分）近3年担任过类似规模、类似类型项目的项目经理，每提供1项有效业绩得2分，最多得4分。（需提供合同复印件）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1.供应商提供开标前半年内任意2个月的缴税凭证每个得2分，共计4分； 2.供应商提供社保参保证明及开标前半年内任意一个月社保缴费凭证得2分；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自2022年9月至今已完成的工程相同类似业绩每提供一个的得2分，本项最高得6分。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针对本项目实际情况就工程内容编写施工方案：所述内容切合工程实际，施工工艺清晰，质量措施切实可行，安全文明施工方案合理，投入的主要机具充分。 ①方案切合实际、因地制宜、科学合理完全满足本项目要求10（含）-15分； ②方案基本切合实际、能满足项目实际情况得5（含）-9分； ③方案不切合实际情况、因地制宜性差，不能满足本项目实际要求0-4分。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工程进度计划及保证措施</w:t>
            </w:r>
          </w:p>
        </w:tc>
        <w:tc>
          <w:tcPr>
            <w:tcW w:type="dxa" w:w="2492"/>
          </w:tcPr>
          <w:p>
            <w:pPr>
              <w:pStyle w:val="null3"/>
            </w:pPr>
            <w:r>
              <w:rPr>
                <w:rFonts w:ascii="仿宋_GB2312" w:hAnsi="仿宋_GB2312" w:cs="仿宋_GB2312" w:eastAsia="仿宋_GB2312"/>
              </w:rPr>
              <w:t>进度计划及保障措施合理、完善、可行，4～6分；进度计划及保障措施一般，0～3分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项目管理人员及人员配备</w:t>
            </w:r>
          </w:p>
        </w:tc>
        <w:tc>
          <w:tcPr>
            <w:tcW w:type="dxa" w:w="2492"/>
          </w:tcPr>
          <w:p>
            <w:pPr>
              <w:pStyle w:val="null3"/>
            </w:pPr>
            <w:r>
              <w:rPr>
                <w:rFonts w:ascii="仿宋_GB2312" w:hAnsi="仿宋_GB2312" w:cs="仿宋_GB2312" w:eastAsia="仿宋_GB2312"/>
              </w:rPr>
              <w:t>依据本项目成立项目管理部，项目部门技术人员配备合理，组织措施及岗位职责清晰明确，满足本项目需求得7～10 分；项目部门技术人员配备较合理，岗位职责较为清晰明确，基本满足本项目需求得4～6分；项目部门技术人员配备不合理，岗位职责较不清晰明确，不能满足本项目需求得0-3分。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商务响应：磋商文件对付款方式、服务周期、验收等要求响应情况1-2分；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文件制作</w:t>
            </w:r>
          </w:p>
        </w:tc>
        <w:tc>
          <w:tcPr>
            <w:tcW w:type="dxa" w:w="2492"/>
          </w:tcPr>
          <w:p>
            <w:pPr>
              <w:pStyle w:val="null3"/>
            </w:pPr>
            <w:r>
              <w:rPr>
                <w:rFonts w:ascii="仿宋_GB2312" w:hAnsi="仿宋_GB2312" w:cs="仿宋_GB2312" w:eastAsia="仿宋_GB2312"/>
              </w:rPr>
              <w:t>响应文件按照要求响应项目齐全，条理清晰、全面准确，响应文件编制内容比较完整、规范得1-2分，响应文件有关内容前后矛盾、与磋商文件要求不一致，此项不得分。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价格分采用低价优先法计算，即满足磋商文件要求且响应价格最低的投标报价为评标基准价，其价格分为满分。其他投标人的价格分统一按照下列公式计算，评分方法：P=45×Pmin/ Pn 其中：Pmin：所有有效投标的最低投标价。 Pn：第n个投标人的投标价。</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