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版本号：ZTGX-2025-03320251106001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陕西省第五届全民健身运动会闭幕式策划组织执行采购项目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ZTGX-2025-033</w:t>
      </w:r>
      <w:r>
        <w:br/>
      </w:r>
      <w:r>
        <w:br/>
      </w:r>
      <w:r>
        <w:br/>
      </w:r>
    </w:p>
    <w:p>
      <w:pPr>
        <w:pStyle w:val="null3"/>
        <w:jc w:val="center"/>
        <w:outlineLvl w:val="2"/>
      </w:pPr>
      <w:r>
        <w:rPr>
          <w:rFonts w:ascii="仿宋_GB2312" w:hAnsi="仿宋_GB2312" w:cs="仿宋_GB2312" w:eastAsia="仿宋_GB2312"/>
          <w:sz w:val="28"/>
          <w:b/>
        </w:rPr>
        <w:t>商洛市体育局</w:t>
      </w:r>
    </w:p>
    <w:p>
      <w:pPr>
        <w:pStyle w:val="null3"/>
        <w:jc w:val="center"/>
        <w:outlineLvl w:val="2"/>
      </w:pPr>
      <w:r>
        <w:rPr>
          <w:rFonts w:ascii="仿宋_GB2312" w:hAnsi="仿宋_GB2312" w:cs="仿宋_GB2312" w:eastAsia="仿宋_GB2312"/>
          <w:sz w:val="28"/>
          <w:b/>
        </w:rPr>
        <w:t>陕西中天国信项目管理有限公司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陕西中天国信项目管理有限公司</w:t>
      </w:r>
      <w:r>
        <w:rPr>
          <w:rFonts w:ascii="仿宋_GB2312" w:hAnsi="仿宋_GB2312" w:cs="仿宋_GB2312" w:eastAsia="仿宋_GB2312"/>
        </w:rPr>
        <w:t>（以下简称“代理机构”）受</w:t>
      </w:r>
      <w:r>
        <w:rPr>
          <w:rFonts w:ascii="仿宋_GB2312" w:hAnsi="仿宋_GB2312" w:cs="仿宋_GB2312" w:eastAsia="仿宋_GB2312"/>
        </w:rPr>
        <w:t>商洛市体育局</w:t>
      </w:r>
      <w:r>
        <w:rPr>
          <w:rFonts w:ascii="仿宋_GB2312" w:hAnsi="仿宋_GB2312" w:cs="仿宋_GB2312" w:eastAsia="仿宋_GB2312"/>
        </w:rPr>
        <w:t>委托，拟对</w:t>
      </w:r>
      <w:r>
        <w:rPr>
          <w:rFonts w:ascii="仿宋_GB2312" w:hAnsi="仿宋_GB2312" w:cs="仿宋_GB2312" w:eastAsia="仿宋_GB2312"/>
        </w:rPr>
        <w:t>陕西省第五届全民健身运动会闭幕式策划组织执行采购项目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ZTGX-2025-033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陕西省第五届全民健身运动会闭幕式策划组织执行采购项目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采购内容：1.场地布置及灯光音响租赁；2.服装道具及各项物料制作费用；3.展演人员的交通、服装及食宿费；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采购包1（陕西省第五届全民健身运动会闭幕式策划组织执行采购项目）：属于专门面向中小企业采购。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1、具有独立承担民事责任能力的法人或其他组织：提供营业执照或其他组织合法有效的证明文件；：具有独立承担民事责任能力的法人或其他组织：提供营业执照或其他组织合法有效的证明文件；</w:t>
      </w:r>
    </w:p>
    <w:p>
      <w:pPr>
        <w:pStyle w:val="null3"/>
      </w:pPr>
      <w:r>
        <w:rPr>
          <w:rFonts w:ascii="仿宋_GB2312" w:hAnsi="仿宋_GB2312" w:cs="仿宋_GB2312" w:eastAsia="仿宋_GB2312"/>
        </w:rPr>
        <w:t>2、财务状况报告：提供 2023 年度或 2024 年度的财务审计报告（至少包括资产 负债表和利润表，成立时间至提交磋商响应文件截止时间不足一年的可提供成立后任意 时段的资产负债表），或开标时间前六个月内银行出具的资信证明；：财务状况报告：提供 2023 年度或 2024 年度的财务审计报告（至少包括资产 负债表和利润表，成立时间至提交磋商响应文件截止时间不足一年的可提供成立后任意 时段的资产负债表），或开标时间前六个月内银行出具的资信证明；</w:t>
      </w:r>
    </w:p>
    <w:p>
      <w:pPr>
        <w:pStyle w:val="null3"/>
      </w:pPr>
      <w:r>
        <w:rPr>
          <w:rFonts w:ascii="仿宋_GB2312" w:hAnsi="仿宋_GB2312" w:cs="仿宋_GB2312" w:eastAsia="仿宋_GB2312"/>
        </w:rPr>
        <w:t>3、税收缴纳证明：提供磋商截止日前一年内已缴纳的至少一个月的纳税证明或 完税证明（任意税种），依法免税的单位应提供相关证明材料；：税收缴纳证明：提供磋商截止日前一年内已缴纳的至少一个月的纳税证明或 完税证明（任意税种），依法免税的单位应提供相关证明材料；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 会保障资金的单位应提供相关证明材料：社会保障资金缴纳证明：提供磋商截止日前一年内已缴存的至少一个月的社会保障资金缴存单据或社保机构开具的社会保险参保缴费情况证明，依法不需要缴纳社 会保障资金的单位应提供相关证明材料</w:t>
      </w:r>
    </w:p>
    <w:p>
      <w:pPr>
        <w:pStyle w:val="null3"/>
      </w:pPr>
      <w:r>
        <w:rPr>
          <w:rFonts w:ascii="仿宋_GB2312" w:hAnsi="仿宋_GB2312" w:cs="仿宋_GB2312" w:eastAsia="仿宋_GB2312"/>
        </w:rPr>
        <w:t>5、提供具有履行本合同所必需的设备和专业技术能力：提供承诺书：提供具有履行本合同所必需的设备和专业技术能力：提供承诺书</w:t>
      </w:r>
    </w:p>
    <w:p>
      <w:pPr>
        <w:pStyle w:val="null3"/>
      </w:pPr>
      <w:r>
        <w:rPr>
          <w:rFonts w:ascii="仿宋_GB2312" w:hAnsi="仿宋_GB2312" w:cs="仿宋_GB2312" w:eastAsia="仿宋_GB2312"/>
        </w:rPr>
        <w:t>6、供应商不得在“信用中国”网站 (www.creditchina.gov.cn) 中被列入重大税收违法失信主体的当事 人，不得在“中国执行信息公开网” (http://zxgk.court.gov.cn) 网站中被列为失信被执行人，不得为“中 国政府采购网” (www.ccgp.gov.cn) 政府采购严重违法失信行为记录名单中被财政部门禁止参加政府采购 活动的供应商：供应商不得在“信用中国”网站 (www.creditchina.gov.cn) 中被列入重大税收违法失信主体的当事 人，不得在“中国执行信息公开网” (http://zxgk.court.gov.cn) 网站中被列为失信被执行人，不得为“中 国政府采购网” (www.ccgp.gov.cn) 政府采购严重违法失信行为记录名单中被财政部门禁止参加政府采购 活动的供应商（附网站查询截图）</w:t>
      </w:r>
    </w:p>
    <w:p>
      <w:pPr>
        <w:pStyle w:val="null3"/>
      </w:pPr>
      <w:r>
        <w:rPr>
          <w:rFonts w:ascii="仿宋_GB2312" w:hAnsi="仿宋_GB2312" w:cs="仿宋_GB2312" w:eastAsia="仿宋_GB2312"/>
        </w:rPr>
        <w:t>7、法定代表人(负责人)参加磋商时，提供法定代表人(负责人)证明书及身份证原件；授权代表参加磋商时，提供法定代表人(负责人)授权委托书及身份证原件：法定代表人(负责人)参加磋商时，提供法定代表人(负责人)证明书及身份证原件；授权代表参加磋商时，提供法定代表人(负责人)授权委托书及身份证原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商洛市商州区北新街东段31号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18091465996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陕西中天国信项目管理有限公司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陕西省商洛市商州区朝阳路城投公司东隔壁二楼开标室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18991402322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改革委员会办公厅颁发的《关于招标代理服务收费有关问题的通知》（发改价格[2003]857号）有关规定向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商洛市体育局</w:t>
      </w:r>
      <w:r>
        <w:rPr>
          <w:rFonts w:ascii="仿宋_GB2312" w:hAnsi="仿宋_GB2312" w:cs="仿宋_GB2312" w:eastAsia="仿宋_GB2312"/>
        </w:rPr>
        <w:t>和</w:t>
      </w:r>
      <w:r>
        <w:rPr>
          <w:rFonts w:ascii="仿宋_GB2312" w:hAnsi="仿宋_GB2312" w:cs="仿宋_GB2312" w:eastAsia="仿宋_GB2312"/>
        </w:rPr>
        <w:t>陕西中天国信项目管理有限公司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陕西中天国信项目管理有限公司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陕西中天国信项目管理有限公司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符合法律规范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联系人：王肖</w:t>
      </w:r>
    </w:p>
    <w:p>
      <w:pPr>
        <w:pStyle w:val="null3"/>
      </w:pPr>
      <w:r>
        <w:rPr>
          <w:rFonts w:ascii="仿宋_GB2312" w:hAnsi="仿宋_GB2312" w:cs="仿宋_GB2312" w:eastAsia="仿宋_GB2312"/>
        </w:rPr>
        <w:t>联系电话：18991402322</w:t>
      </w:r>
    </w:p>
    <w:p>
      <w:pPr>
        <w:pStyle w:val="null3"/>
      </w:pPr>
      <w:r>
        <w:rPr>
          <w:rFonts w:ascii="仿宋_GB2312" w:hAnsi="仿宋_GB2312" w:cs="仿宋_GB2312" w:eastAsia="仿宋_GB2312"/>
        </w:rPr>
        <w:t>地址：陕西省商洛市商州区朝阳路城投公司东隔壁二楼开标室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场地布置及灯光音响租赁:2.服装道具及各项物料制作费用:3.展演人员的交通、服装及食宿费: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963,000.00</w:t>
      </w:r>
    </w:p>
    <w:p>
      <w:pPr>
        <w:pStyle w:val="null3"/>
      </w:pPr>
      <w:r>
        <w:rPr>
          <w:rFonts w:ascii="仿宋_GB2312" w:hAnsi="仿宋_GB2312" w:cs="仿宋_GB2312" w:eastAsia="仿宋_GB2312"/>
        </w:rPr>
        <w:t>采购包最高限价（元）: 963,000.00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963000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标的名称：963000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116"/>
              <w:gridCol w:w="248"/>
              <w:gridCol w:w="413"/>
              <w:gridCol w:w="383"/>
              <w:gridCol w:w="1167"/>
              <w:gridCol w:w="224"/>
            </w:tblGrid>
            <w:tr>
              <w:tc>
                <w:tcPr>
                  <w:tcW w:type="dxa" w:w="2551"/>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陕西省第五届全民健身运动会闭幕式</w:t>
                  </w:r>
                </w:p>
              </w:tc>
            </w:tr>
            <w:tr>
              <w:tc>
                <w:tcPr>
                  <w:tcW w:type="dxa" w:w="116"/>
                  <w:tcBorders>
                    <w:top w:val="single" w:color="000000" w:sz="4"/>
                    <w:left w:val="single" w:color="000000" w:sz="4"/>
                    <w:bottom w:val="single" w:color="000000" w:sz="4"/>
                    <w:right w:val="single" w:color="000000" w:sz="4"/>
                  </w:tcBorders>
                  <w:shd w:fill="DD0806"/>
                  <w:tcMar>
                    <w:top w:type="dxa" w:w="15"/>
                    <w:left w:type="dxa" w:w="15"/>
                    <w:right w:type="dxa" w:w="15"/>
                  </w:tcMar>
                  <w:vAlign w:val="center"/>
                </w:tcPr>
                <w:p>
                  <w:pPr>
                    <w:pStyle w:val="null3"/>
                    <w:jc w:val="center"/>
                  </w:pPr>
                  <w:r>
                    <w:rPr>
                      <w:rFonts w:ascii="仿宋_GB2312" w:hAnsi="仿宋_GB2312" w:cs="仿宋_GB2312" w:eastAsia="仿宋_GB2312"/>
                      <w:sz w:val="24"/>
                      <w:b/>
                      <w:color w:val="FFFFFF"/>
                    </w:rPr>
                    <w:t>序号</w:t>
                  </w:r>
                </w:p>
              </w:tc>
              <w:tc>
                <w:tcPr>
                  <w:tcW w:type="dxa" w:w="248"/>
                  <w:tcBorders>
                    <w:top w:val="single" w:color="000000" w:sz="4"/>
                    <w:left w:val="single" w:color="000000" w:sz="4"/>
                    <w:bottom w:val="single" w:color="000000" w:sz="4"/>
                    <w:right w:val="single" w:color="000000" w:sz="4"/>
                  </w:tcBorders>
                  <w:shd w:fill="DD0806"/>
                  <w:tcMar>
                    <w:top w:type="dxa" w:w="15"/>
                    <w:left w:type="dxa" w:w="15"/>
                    <w:right w:type="dxa" w:w="15"/>
                  </w:tcMar>
                  <w:vAlign w:val="center"/>
                </w:tcPr>
                <w:p/>
              </w:tc>
              <w:tc>
                <w:tcPr>
                  <w:tcW w:type="dxa" w:w="413"/>
                  <w:tcBorders>
                    <w:top w:val="single" w:color="000000" w:sz="4"/>
                    <w:left w:val="single" w:color="000000" w:sz="4"/>
                    <w:bottom w:val="single" w:color="000000" w:sz="4"/>
                    <w:right w:val="single" w:color="000000" w:sz="4"/>
                  </w:tcBorders>
                  <w:shd w:fill="DD0806"/>
                  <w:tcMar>
                    <w:top w:type="dxa" w:w="15"/>
                    <w:left w:type="dxa" w:w="15"/>
                    <w:right w:type="dxa" w:w="15"/>
                  </w:tcMar>
                  <w:vAlign w:val="center"/>
                </w:tcPr>
                <w:p>
                  <w:pPr>
                    <w:pStyle w:val="null3"/>
                    <w:jc w:val="center"/>
                  </w:pPr>
                  <w:r>
                    <w:rPr>
                      <w:rFonts w:ascii="仿宋_GB2312" w:hAnsi="仿宋_GB2312" w:cs="仿宋_GB2312" w:eastAsia="仿宋_GB2312"/>
                      <w:sz w:val="24"/>
                      <w:b/>
                      <w:color w:val="FFFFFF"/>
                    </w:rPr>
                    <w:t>项目</w:t>
                  </w:r>
                </w:p>
              </w:tc>
              <w:tc>
                <w:tcPr>
                  <w:tcW w:type="dxa" w:w="383"/>
                  <w:tcBorders>
                    <w:top w:val="single" w:color="000000" w:sz="4"/>
                    <w:left w:val="single" w:color="000000" w:sz="4"/>
                    <w:bottom w:val="single" w:color="000000" w:sz="4"/>
                    <w:right w:val="single" w:color="000000" w:sz="4"/>
                  </w:tcBorders>
                  <w:shd w:fill="DD0806"/>
                  <w:tcMar>
                    <w:top w:type="dxa" w:w="15"/>
                    <w:left w:type="dxa" w:w="15"/>
                    <w:right w:type="dxa" w:w="15"/>
                  </w:tcMar>
                  <w:vAlign w:val="center"/>
                </w:tcPr>
                <w:p>
                  <w:pPr>
                    <w:pStyle w:val="null3"/>
                    <w:jc w:val="center"/>
                  </w:pPr>
                  <w:r>
                    <w:rPr>
                      <w:rFonts w:ascii="仿宋_GB2312" w:hAnsi="仿宋_GB2312" w:cs="仿宋_GB2312" w:eastAsia="仿宋_GB2312"/>
                      <w:sz w:val="24"/>
                      <w:b/>
                      <w:color w:val="FFFFFF"/>
                    </w:rPr>
                    <w:t>分项</w:t>
                  </w:r>
                </w:p>
              </w:tc>
              <w:tc>
                <w:tcPr>
                  <w:tcW w:type="dxa" w:w="1167"/>
                  <w:tcBorders>
                    <w:top w:val="single" w:color="000000" w:sz="4"/>
                    <w:left w:val="single" w:color="000000" w:sz="4"/>
                    <w:bottom w:val="single" w:color="000000" w:sz="4"/>
                    <w:right w:val="single" w:color="000000" w:sz="4"/>
                  </w:tcBorders>
                  <w:shd w:fill="DD0806"/>
                  <w:tcMar>
                    <w:top w:type="dxa" w:w="15"/>
                    <w:left w:type="dxa" w:w="15"/>
                    <w:right w:type="dxa" w:w="15"/>
                  </w:tcMar>
                  <w:vAlign w:val="center"/>
                </w:tcPr>
                <w:p>
                  <w:pPr>
                    <w:pStyle w:val="null3"/>
                    <w:jc w:val="center"/>
                  </w:pPr>
                  <w:r>
                    <w:rPr>
                      <w:rFonts w:ascii="仿宋_GB2312" w:hAnsi="仿宋_GB2312" w:cs="仿宋_GB2312" w:eastAsia="仿宋_GB2312"/>
                      <w:sz w:val="24"/>
                      <w:b/>
                      <w:color w:val="FFFFFF"/>
                    </w:rPr>
                    <w:t>明细</w:t>
                  </w:r>
                </w:p>
              </w:tc>
              <w:tc>
                <w:tcPr>
                  <w:tcW w:type="dxa" w:w="224"/>
                  <w:tcBorders>
                    <w:top w:val="single" w:color="000000" w:sz="4"/>
                    <w:left w:val="single" w:color="000000" w:sz="4"/>
                    <w:bottom w:val="single" w:color="000000" w:sz="4"/>
                    <w:right w:val="single" w:color="000000" w:sz="4"/>
                  </w:tcBorders>
                  <w:shd w:fill="DD0806"/>
                  <w:tcMar>
                    <w:top w:type="dxa" w:w="15"/>
                    <w:left w:type="dxa" w:w="15"/>
                    <w:right w:type="dxa" w:w="15"/>
                  </w:tcMar>
                  <w:vAlign w:val="center"/>
                </w:tcPr>
                <w:p>
                  <w:pPr>
                    <w:pStyle w:val="null3"/>
                    <w:jc w:val="center"/>
                  </w:pPr>
                  <w:r>
                    <w:rPr>
                      <w:rFonts w:ascii="仿宋_GB2312" w:hAnsi="仿宋_GB2312" w:cs="仿宋_GB2312" w:eastAsia="仿宋_GB2312"/>
                      <w:sz w:val="24"/>
                      <w:b/>
                      <w:color w:val="FFFFFF"/>
                    </w:rPr>
                    <w:t>使用周期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一、开幕式场地布置及氛围营造</w:t>
                  </w:r>
                </w:p>
              </w:tc>
              <w:tc>
                <w:tcPr>
                  <w:tcW w:type="dxa" w:w="4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外围氛围营造</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水道旗</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5米高水道旗，旗面1.2*3.5米；100个</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迎宾背景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长12*高6*宽3米，桁架黑白布喷绘；1组，225㎡</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48"/>
                  <w:vMerge/>
                  <w:tcBorders>
                    <w:top w:val="single" w:color="000000" w:sz="4"/>
                    <w:left w:val="single" w:color="000000" w:sz="4"/>
                    <w:bottom w:val="single" w:color="000000" w:sz="4"/>
                    <w:right w:val="single" w:color="000000" w:sz="4"/>
                  </w:tcBorders>
                </w:tcPr>
                <w:p/>
              </w:tc>
              <w:tc>
                <w:tcPr>
                  <w:tcW w:type="dxa" w:w="4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引导牌</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场内嘉宾</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指示牌6块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场外</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地贴10</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48"/>
                  <w:vMerge/>
                  <w:tcBorders>
                    <w:top w:val="single" w:color="000000" w:sz="4"/>
                    <w:left w:val="single" w:color="000000" w:sz="4"/>
                    <w:bottom w:val="single" w:color="000000" w:sz="4"/>
                    <w:right w:val="single" w:color="000000" w:sz="4"/>
                  </w:tcBorders>
                </w:tcPr>
                <w:p/>
              </w:tc>
              <w:tc>
                <w:tcPr>
                  <w:tcW w:type="dxa" w:w="4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场地布置</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会场主舞台</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舞台地毯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22*8</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主席台背景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桁架喷绘单面，10*4m</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外围背景板</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桁架黑白布喷绘</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控台挡板</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喷绘+架子(10米+1米)*1.2米高，20平方</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雷亚架</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舞台大屏及喷绘框架基础高12米，13吨</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truss</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400*400 48米</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讲话台（含装饰）</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电葫芦</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6个</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气柱机</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6个</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二、视频、音乐制作，灯光、音响租赁及现场搭建</w:t>
                  </w:r>
                </w:p>
              </w:tc>
              <w:tc>
                <w:tcPr>
                  <w:tcW w:type="dxa" w:w="4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视频部分（ＬＥＤ大屏）</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LED主显示屏</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20*5  100平米</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侧屏</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  40平米</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台口屏</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12*1  12平米</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高清LED发送卡</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M500高清发送卡10张</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4K视频处理器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4Ktwo 视频处理器10台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切换器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2支</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S3</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服务器1台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EC200</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光纤</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4条</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线材</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视频师</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2人,5天</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48"/>
                  <w:vMerge/>
                  <w:tcBorders>
                    <w:top w:val="single" w:color="000000" w:sz="4"/>
                    <w:left w:val="single" w:color="000000" w:sz="4"/>
                    <w:bottom w:val="single" w:color="000000" w:sz="4"/>
                    <w:right w:val="single" w:color="000000" w:sz="4"/>
                  </w:tcBorders>
                </w:tcPr>
                <w:p/>
              </w:tc>
              <w:tc>
                <w:tcPr>
                  <w:tcW w:type="dxa" w:w="413"/>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灯光</w:t>
                  </w:r>
                </w:p>
              </w:tc>
              <w:tc>
                <w:tcPr>
                  <w:tcW w:type="dxa" w:w="3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LED par染灯</w:t>
                  </w:r>
                </w:p>
              </w:tc>
              <w:tc>
                <w:tcPr>
                  <w:tcW w:type="dxa" w:w="116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ACME PAR54IP；54珠；40台</w:t>
                  </w:r>
                </w:p>
              </w:tc>
              <w:tc>
                <w:tcPr>
                  <w:tcW w:type="dxa" w:w="22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条形频闪灯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光束灯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ACME   380；GTD-33011 BEAM；50台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摇头染色灯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ACME；40台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观众灯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切割灯</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MA2</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含NPU  1台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烟机</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2台</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灯光师</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2人</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48"/>
                  <w:vMerge/>
                  <w:tcBorders>
                    <w:top w:val="single" w:color="000000" w:sz="4"/>
                    <w:left w:val="single" w:color="000000" w:sz="4"/>
                    <w:bottom w:val="single" w:color="000000" w:sz="4"/>
                    <w:right w:val="single" w:color="000000" w:sz="4"/>
                  </w:tcBorders>
                </w:tcPr>
                <w:p/>
              </w:tc>
              <w:tc>
                <w:tcPr>
                  <w:tcW w:type="dxa" w:w="4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音响工程搭建</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线性阵列全频音箱</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LAX-TV 110线性阵列扬声器音箱20只</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超低频扬声器音箱</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LAX-18B式超低频扬声器8只</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返送音箱</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HZM A-15返送8只</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讲台话筒</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一拖四电容话筒</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调音台</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头戴麦</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2套SENNHEISERE500，400元/套</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音响师</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2人，4天</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248"/>
                  <w:vMerge/>
                  <w:tcBorders>
                    <w:top w:val="single" w:color="000000" w:sz="4"/>
                    <w:left w:val="single" w:color="000000" w:sz="4"/>
                    <w:bottom w:val="single" w:color="000000" w:sz="4"/>
                    <w:right w:val="single" w:color="000000" w:sz="4"/>
                  </w:tcBorders>
                </w:tcPr>
                <w:p/>
              </w:tc>
              <w:tc>
                <w:tcPr>
                  <w:tcW w:type="dxa" w:w="413"/>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场地施工</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工人费用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27人，4天</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运输费用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248"/>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413"/>
                  <w:vMerge w:val="restart"/>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导演团队</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节目导演组费用</w:t>
                  </w: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节目创意、撰稿；节目商洛落地编排12天、彩排3天、演出1天；</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48"/>
                  <w:vMerge/>
                  <w:tcBorders>
                    <w:top w:val="non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non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外请专业演员</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歌手、及其它专业演员</w:t>
                  </w:r>
                </w:p>
              </w:tc>
              <w:tc>
                <w:tcPr>
                  <w:tcW w:type="dxa" w:w="2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8"/>
                  <w:vMerge/>
                  <w:tcBorders>
                    <w:top w:val="non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non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节目音乐制作</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各展演节目音乐剪辑、设计、制作</w:t>
                  </w:r>
                </w:p>
              </w:tc>
              <w:tc>
                <w:tcPr>
                  <w:tcW w:type="dxa" w:w="2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248"/>
                  <w:vMerge/>
                  <w:tcBorders>
                    <w:top w:val="non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non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节目涉及演员化妆</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演员、引导员等</w:t>
                  </w:r>
                </w:p>
              </w:tc>
              <w:tc>
                <w:tcPr>
                  <w:tcW w:type="dxa" w:w="2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248"/>
                  <w:vMerge/>
                  <w:tcBorders>
                    <w:top w:val="none" w:color="000000" w:sz="4"/>
                    <w:left w:val="single" w:color="000000" w:sz="4"/>
                    <w:bottom w:val="single" w:color="000000" w:sz="4"/>
                    <w:right w:val="single" w:color="000000" w:sz="4"/>
                  </w:tcBorders>
                </w:tcPr>
                <w:p/>
              </w:tc>
              <w:tc>
                <w:tcPr>
                  <w:tcW w:type="dxa" w:w="413"/>
                  <w:vMerge/>
                  <w:tcBorders>
                    <w:top w:val="none" w:color="000000" w:sz="4"/>
                    <w:left w:val="single" w:color="000000" w:sz="4"/>
                    <w:bottom w:val="non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节目视频制作</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主题展演视频制作；各篇章及宣传视频制作费用；特效视频、造材、编辑</w:t>
                  </w:r>
                </w:p>
              </w:tc>
              <w:tc>
                <w:tcPr>
                  <w:tcW w:type="dxa" w:w="2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248"/>
                  <w:vMerge/>
                  <w:tcBorders>
                    <w:top w:val="none" w:color="000000" w:sz="4"/>
                    <w:left w:val="single" w:color="000000" w:sz="4"/>
                    <w:bottom w:val="single" w:color="000000" w:sz="4"/>
                    <w:right w:val="single" w:color="000000" w:sz="4"/>
                  </w:tcBorders>
                </w:tcPr>
                <w:p/>
              </w:tc>
              <w:tc>
                <w:tcPr>
                  <w:tcW w:type="dxa" w:w="4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主持及配套音控</w:t>
                  </w: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音乐制作</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开幕文体题展演音乐制作、录制</w:t>
                  </w:r>
                </w:p>
              </w:tc>
              <w:tc>
                <w:tcPr>
                  <w:tcW w:type="dxa" w:w="2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248"/>
                  <w:vMerge/>
                  <w:tcBorders>
                    <w:top w:val="non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主持人</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省市台知名主持人2人；</w:t>
                  </w:r>
                </w:p>
              </w:tc>
              <w:tc>
                <w:tcPr>
                  <w:tcW w:type="dxa" w:w="22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2天</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2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四、服装道具、制作物料及其他费用</w:t>
                  </w:r>
                </w:p>
              </w:tc>
              <w:tc>
                <w:tcPr>
                  <w:tcW w:type="dxa" w:w="4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服饰道具</w:t>
                  </w: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演员服装</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包含服装、鞋子、头饰、配饰等</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演员道具</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包含演出单人道具及团体道具。彩排道具</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代表队手举牌</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20个，手举杆+写真KT板</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人偶制作</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2大2小</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248"/>
                  <w:vMerge/>
                  <w:tcBorders>
                    <w:top w:val="single" w:color="000000" w:sz="4"/>
                    <w:left w:val="single" w:color="000000" w:sz="4"/>
                    <w:bottom w:val="single" w:color="000000" w:sz="4"/>
                    <w:right w:val="single" w:color="000000" w:sz="4"/>
                  </w:tcBorders>
                </w:tcPr>
                <w:p/>
              </w:tc>
              <w:tc>
                <w:tcPr>
                  <w:tcW w:type="dxa" w:w="41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物料制作</w:t>
                  </w: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节目单</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嘉宾30本；A4铜版纸；</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小红旗/会旗</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小红旗、会旗各600个；PVC小旗杆+旗帜布</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248"/>
                  <w:vMerge/>
                  <w:tcBorders>
                    <w:top w:val="single" w:color="000000" w:sz="4"/>
                    <w:left w:val="single" w:color="000000" w:sz="4"/>
                    <w:bottom w:val="single" w:color="000000" w:sz="4"/>
                    <w:right w:val="single" w:color="000000" w:sz="4"/>
                  </w:tcBorders>
                </w:tcPr>
                <w:p/>
              </w:tc>
              <w:tc>
                <w:tcPr>
                  <w:tcW w:type="dxa" w:w="413"/>
                  <w:vMerge/>
                  <w:tcBorders>
                    <w:top w:val="single" w:color="000000" w:sz="4"/>
                    <w:left w:val="single" w:color="000000" w:sz="4"/>
                    <w:bottom w:val="single" w:color="000000" w:sz="4"/>
                    <w:right w:val="single" w:color="000000" w:sz="4"/>
                  </w:tcBorders>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工作证件</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定制证件带+PVC证件；300个；8元/个</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248"/>
                  <w:vMerge/>
                  <w:tcBorders>
                    <w:top w:val="single" w:color="000000" w:sz="4"/>
                    <w:left w:val="single" w:color="000000" w:sz="4"/>
                    <w:bottom w:val="single" w:color="000000" w:sz="4"/>
                    <w:right w:val="single" w:color="000000" w:sz="4"/>
                  </w:tcBorders>
                </w:tcPr>
                <w:p/>
              </w:tc>
              <w:tc>
                <w:tcPr>
                  <w:tcW w:type="dxa" w:w="4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礼仪人员</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闭幕式仪式引导及颁奖服务</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2天</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248"/>
                  <w:vMerge/>
                  <w:tcBorders>
                    <w:top w:val="single" w:color="000000" w:sz="4"/>
                    <w:left w:val="single" w:color="000000" w:sz="4"/>
                    <w:bottom w:val="single" w:color="000000" w:sz="4"/>
                    <w:right w:val="single" w:color="000000" w:sz="4"/>
                  </w:tcBorders>
                </w:tcPr>
                <w:p/>
              </w:tc>
              <w:tc>
                <w:tcPr>
                  <w:tcW w:type="dxa" w:w="41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保险费用</w:t>
                  </w: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演职人员、工作人员等</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248"/>
                  <w:vMerge/>
                  <w:tcBorders>
                    <w:top w:val="single" w:color="000000" w:sz="4"/>
                    <w:left w:val="single" w:color="000000" w:sz="4"/>
                    <w:bottom w:val="single" w:color="000000" w:sz="4"/>
                    <w:right w:val="single" w:color="000000" w:sz="4"/>
                  </w:tcBorders>
                </w:tcPr>
                <w:p/>
              </w:tc>
              <w:tc>
                <w:tcPr>
                  <w:tcW w:type="dxa" w:w="4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媒体宣传</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30家中省主流媒体宣传报道发稿</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248"/>
                  <w:vMerge/>
                  <w:tcBorders>
                    <w:top w:val="single" w:color="000000" w:sz="4"/>
                    <w:left w:val="single" w:color="000000" w:sz="4"/>
                    <w:bottom w:val="single" w:color="000000" w:sz="4"/>
                    <w:right w:val="single" w:color="000000" w:sz="4"/>
                  </w:tcBorders>
                </w:tcPr>
                <w:p/>
              </w:tc>
              <w:tc>
                <w:tcPr>
                  <w:tcW w:type="dxa" w:w="4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摄影摄像</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6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闭幕式摄影设计及记录片制作集锦</w:t>
                  </w: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全周期</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2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六、奖牌、证书制作</w:t>
                  </w:r>
                </w:p>
              </w:tc>
              <w:tc>
                <w:tcPr>
                  <w:tcW w:type="dxa" w:w="4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陕西省第五届全民健身运动会暨2025年陕西省群众体育赛事五级联赛奖牌及证书（市区竞赛组）</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14个项目</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248"/>
                  <w:vMerge/>
                  <w:tcBorders>
                    <w:top w:val="single" w:color="000000" w:sz="4"/>
                    <w:left w:val="single" w:color="000000" w:sz="4"/>
                    <w:bottom w:val="single" w:color="000000" w:sz="4"/>
                    <w:right w:val="single" w:color="000000" w:sz="4"/>
                  </w:tcBorders>
                </w:tcPr>
                <w:p/>
              </w:tc>
              <w:tc>
                <w:tcPr>
                  <w:tcW w:type="dxa" w:w="4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陕西省第五届全民健身运动会暨陕西省第四届老年人体育健身大会奖牌及证书（市区活动组）</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17个项目</w:t>
                  </w:r>
                </w:p>
              </w:tc>
            </w:tr>
            <w:tr>
              <w:tc>
                <w:tcPr>
                  <w:tcW w:type="dxa" w:w="1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w:t>
                  </w:r>
                </w:p>
              </w:tc>
              <w:tc>
                <w:tcPr>
                  <w:tcW w:type="dxa" w:w="248"/>
                  <w:vMerge/>
                  <w:tcBorders>
                    <w:top w:val="single" w:color="000000" w:sz="4"/>
                    <w:left w:val="single" w:color="000000" w:sz="4"/>
                    <w:bottom w:val="single" w:color="000000" w:sz="4"/>
                    <w:right w:val="single" w:color="000000" w:sz="4"/>
                  </w:tcBorders>
                </w:tcPr>
                <w:p/>
              </w:tc>
              <w:tc>
                <w:tcPr>
                  <w:tcW w:type="dxa" w:w="4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陕西省第五届全民健身运动会奖牌及证书（社会组）</w:t>
                  </w:r>
                </w:p>
              </w:tc>
              <w:tc>
                <w:tcPr>
                  <w:tcW w:type="dxa" w:w="3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67"/>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12个项目</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顺利实施，供应商应针对本项目有合理的人员配置管理计划，选派技术全面、责任心强的专业人员承担本项目工作。供应商服务团队应具有相关运作经验，能够按照采购人的要求，胜任服务涵盖的相关工作。合同签订后安排专门人员与采购人对接沟通，提交实施方案并经采购人批准后实施，遵照采购人的管理安排，所有服务应达到采购人的标准要求。供应商服务团队工作人员须实地开展工作，保证工作的准确性、客观性和科学性。供应商在项目实施过程中不得擅自更换项目团队成员，确需更换的，需向采购人提出申请，经采购人同意方可调整，更换后的人员经验等不得低于更换之前。在项目实施过程中，根据实施情况及采购人指令，成交供应商须及时增配相关岗位人员，以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符合采购文件及招标人要求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服务范围：采购文件及合同中约定的所有内容 服务期：自合同签订之日起至赛事结束。 服务地点：采购人指定地点。 质量要求：服务流程及质量须符合国家标准及行业标准。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1验收标准：符合采购文件规定的质量要求。 验收程序：符合国家相关规定程序；</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甲乙双方自行约定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投标文件及电子版1份（签字盖章扫描PDF和word文档格式，U盘存储）。2.供应商应自响应文件递交截止时间起至开标结束，保持在线状态。3.服务期限：30天。4.本项目合同计价方式为固定总价合同，供应商的报价应包含完成该项目工作所发生的全部费用以及投标人企业利润、税金和政策性文件规定及合同包含的所有风险、责任等一切费用；供应商必须对所投项目全部内容进行完整报价，并列出明细及价格组成。采购人不接受（将拒绝）只对项目部分内容进行报价的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具有独立承担民事责任能力的法人或其他组织：提供营业执照或其他组织合法有效的证明文件；</w:t>
            </w:r>
          </w:p>
        </w:tc>
        <w:tc>
          <w:tcPr>
            <w:tcW w:type="dxa" w:w="3322"/>
          </w:tcPr>
          <w:p>
            <w:pPr>
              <w:pStyle w:val="null3"/>
            </w:pPr>
            <w:r>
              <w:rPr>
                <w:rFonts w:ascii="仿宋_GB2312" w:hAnsi="仿宋_GB2312" w:cs="仿宋_GB2312" w:eastAsia="仿宋_GB2312"/>
              </w:rPr>
              <w:t>具有独立承担民事责任能力的法人或其他组织：提供营业执照或其他组织合法有效的证明文件；</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 2023 年度或 2024 年度的财务审计报告（至少包括资产 负债表和利润表，成立时间至提交磋商响应文件截止时间不足一年的可提供成立后任意 时段的资产负债表），或开标时间前六个月内银行出具的资信证明；</w:t>
            </w:r>
          </w:p>
        </w:tc>
        <w:tc>
          <w:tcPr>
            <w:tcW w:type="dxa" w:w="3322"/>
          </w:tcPr>
          <w:p>
            <w:pPr>
              <w:pStyle w:val="null3"/>
            </w:pPr>
            <w:r>
              <w:rPr>
                <w:rFonts w:ascii="仿宋_GB2312" w:hAnsi="仿宋_GB2312" w:cs="仿宋_GB2312" w:eastAsia="仿宋_GB2312"/>
              </w:rPr>
              <w:t>财务状况报告：提供 2023 年度或 2024 年度的财务审计报告（至少包括资产 负债表和利润表，成立时间至提交磋商响应文件截止时间不足一年的可提供成立后任意 时段的资产负债表），或开标时间前六个月内银行出具的资信证明；</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税收缴纳证明：提供磋商截止日前一年内已缴纳的至少一个月的纳税证明或 完税证明（任意税种），依法免税的单位应提供相关证明材料；</w:t>
            </w:r>
          </w:p>
        </w:tc>
        <w:tc>
          <w:tcPr>
            <w:tcW w:type="dxa" w:w="3322"/>
          </w:tcPr>
          <w:p>
            <w:pPr>
              <w:pStyle w:val="null3"/>
            </w:pPr>
            <w:r>
              <w:rPr>
                <w:rFonts w:ascii="仿宋_GB2312" w:hAnsi="仿宋_GB2312" w:cs="仿宋_GB2312" w:eastAsia="仿宋_GB2312"/>
              </w:rPr>
              <w:t>税收缴纳证明：提供磋商截止日前一年内已缴纳的至少一个月的纳税证明或 完税证明（任意税种），依法免税的单位应提供相关证明材料；</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社会保障资金缴纳证明：提供磋商截止日前一年内已缴存的至少一个月的社会保障资金缴存单据或社保机构开具的社会保险参保缴费情况证明，依法不需要缴纳社 会保障资金的单位应提供相关证明材料</w:t>
            </w:r>
          </w:p>
        </w:tc>
        <w:tc>
          <w:tcPr>
            <w:tcW w:type="dxa" w:w="3322"/>
          </w:tcPr>
          <w:p>
            <w:pPr>
              <w:pStyle w:val="null3"/>
            </w:pPr>
            <w:r>
              <w:rPr>
                <w:rFonts w:ascii="仿宋_GB2312" w:hAnsi="仿宋_GB2312" w:cs="仿宋_GB2312" w:eastAsia="仿宋_GB2312"/>
              </w:rPr>
              <w:t>社会保障资金缴纳证明：提供磋商截止日前一年内已缴存的至少一个月的社会保障资金缴存单据或社保机构开具的社会保险参保缴费情况证明，依法不需要缴纳社 会保障资金的单位应提供相关证明材料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提供具有履行本合同所必需的设备和专业技术能力：提供承诺书</w:t>
            </w:r>
          </w:p>
        </w:tc>
        <w:tc>
          <w:tcPr>
            <w:tcW w:type="dxa" w:w="3322"/>
          </w:tcPr>
          <w:p>
            <w:pPr>
              <w:pStyle w:val="null3"/>
            </w:pPr>
            <w:r>
              <w:rPr>
                <w:rFonts w:ascii="仿宋_GB2312" w:hAnsi="仿宋_GB2312" w:cs="仿宋_GB2312" w:eastAsia="仿宋_GB2312"/>
              </w:rPr>
              <w:t>提供具有履行本合同所必需的设备和专业技术能力：提供承诺书</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供应商不得在“信用中国”网站 (www.creditchina.gov.cn) 中被列入重大税收违法失信主体的当事 人，不得在“中国执行信息公开网” (http://zxgk.court.gov.cn) 网站中被列为失信被执行人，不得为“中 国政府采购网” (www.ccgp.gov.cn) 政府采购严重违法失信行为记录名单中被财政部门禁止参加政府采购 活动的供应商</w:t>
            </w:r>
          </w:p>
        </w:tc>
        <w:tc>
          <w:tcPr>
            <w:tcW w:type="dxa" w:w="3322"/>
          </w:tcPr>
          <w:p>
            <w:pPr>
              <w:pStyle w:val="null3"/>
            </w:pPr>
            <w:r>
              <w:rPr>
                <w:rFonts w:ascii="仿宋_GB2312" w:hAnsi="仿宋_GB2312" w:cs="仿宋_GB2312" w:eastAsia="仿宋_GB2312"/>
              </w:rPr>
              <w:t>供应商不得在“信用中国”网站 (www.creditchina.gov.cn) 中被列入重大税收违法失信主体的当事 人，不得在“中国执行信息公开网” (http://zxgk.court.gov.cn) 网站中被列为失信被执行人，不得为“中 国政府采购网” (www.ccgp.gov.cn) 政府采购严重违法失信行为记录名单中被财政部门禁止参加政府采购 活动的供应商（附网站查询截图）</w:t>
            </w:r>
          </w:p>
        </w:tc>
        <w:tc>
          <w:tcPr>
            <w:tcW w:type="dxa" w:w="1661"/>
          </w:tcPr>
          <w:p>
            <w:pPr>
              <w:pStyle w:val="null3"/>
            </w:pPr>
            <w:r>
              <w:rPr>
                <w:rFonts w:ascii="仿宋_GB2312" w:hAnsi="仿宋_GB2312" w:cs="仿宋_GB2312" w:eastAsia="仿宋_GB2312"/>
              </w:rPr>
              <w:t>供应商特定资格要求.docx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法定代表人(负责人)参加磋商时，提供法定代表人(负责人)证明书及身份证原件；授权代表参加磋商时，提供法定代表人(负责人)授权委托书及身份证原件</w:t>
            </w:r>
          </w:p>
        </w:tc>
        <w:tc>
          <w:tcPr>
            <w:tcW w:type="dxa" w:w="3322"/>
          </w:tcPr>
          <w:p>
            <w:pPr>
              <w:pStyle w:val="null3"/>
            </w:pPr>
            <w:r>
              <w:rPr>
                <w:rFonts w:ascii="仿宋_GB2312" w:hAnsi="仿宋_GB2312" w:cs="仿宋_GB2312" w:eastAsia="仿宋_GB2312"/>
              </w:rPr>
              <w:t>法定代表人(负责人)参加磋商时，提供法定代表人(负责人)证明书及身份证原件；授权代表参加磋商时，提供法定代表人(负责人)授权委托书及身份证原件</w:t>
            </w:r>
          </w:p>
        </w:tc>
        <w:tc>
          <w:tcPr>
            <w:tcW w:type="dxa" w:w="1661"/>
          </w:tcPr>
          <w:p>
            <w:pPr>
              <w:pStyle w:val="null3"/>
            </w:pPr>
            <w:r>
              <w:rPr>
                <w:rFonts w:ascii="仿宋_GB2312" w:hAnsi="仿宋_GB2312" w:cs="仿宋_GB2312" w:eastAsia="仿宋_GB2312"/>
              </w:rPr>
              <w:t>委托书.docx 法定代表人证明书.docx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技术要求偏离表.docx 商务应答表 标的清单 供应商拒绝政府采购领域商业贿赂承诺书.docx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磋商报价得分=（评标基准价/磋商报价）×价格分值（计算分数时四舍五入取小数点后两位） 注：1、本项目专门面向中小企业采购，根据财政部发布《政府采购促进中小企业发展政策问答》的规定，专门面向中小企业采购的项目或者采购包，不再执行价格评审优惠的扶持政策。 2、投标报价不完整的，不进入评标标准价的计算，本项得0分。经评委一致认定，供应商的投标总报价低于公认市场成本，或超过采购预算,其投标将被拒绝。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tc>
      </w:tr>
      <w:tr>
        <w:tc>
          <w:tcPr>
            <w:tcW w:type="dxa" w:w="831"/>
            <w:vMerge/>
          </w:tcPr>
          <w:p/>
        </w:tc>
        <w:tc>
          <w:tcPr>
            <w:tcW w:type="dxa" w:w="1661"/>
          </w:tcPr>
          <w:p>
            <w:pPr>
              <w:pStyle w:val="null3"/>
            </w:pPr>
            <w:r>
              <w:rPr>
                <w:rFonts w:ascii="仿宋_GB2312" w:hAnsi="仿宋_GB2312" w:cs="仿宋_GB2312" w:eastAsia="仿宋_GB2312"/>
              </w:rPr>
              <w:t>总体策划服务方案</w:t>
            </w:r>
          </w:p>
        </w:tc>
        <w:tc>
          <w:tcPr>
            <w:tcW w:type="dxa" w:w="2492"/>
          </w:tcPr>
          <w:p>
            <w:pPr>
              <w:pStyle w:val="null3"/>
            </w:pPr>
            <w:r>
              <w:rPr>
                <w:rFonts w:ascii="仿宋_GB2312" w:hAnsi="仿宋_GB2312" w:cs="仿宋_GB2312" w:eastAsia="仿宋_GB2312"/>
              </w:rPr>
              <w:t>针对供应商对本项目提供详细的总体策划服务方案，考察供应商对项目的总体策划方案和需求的实现能力，方案完整、架构合理，可行性强，提出详细、具体、明确内容，针对性强，得11-15分；方案较科学、架构较合理，可行性较强，较有针对性，得7-10分；方案及架构一般、有可行性和针对性，得4-6分；方案架构有欠缺、可行性和针对性不强，得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安全保障与应急处理</w:t>
            </w:r>
          </w:p>
        </w:tc>
        <w:tc>
          <w:tcPr>
            <w:tcW w:type="dxa" w:w="2492"/>
          </w:tcPr>
          <w:p>
            <w:pPr>
              <w:pStyle w:val="null3"/>
            </w:pPr>
            <w:r>
              <w:rPr>
                <w:rFonts w:ascii="仿宋_GB2312" w:hAnsi="仿宋_GB2312" w:cs="仿宋_GB2312" w:eastAsia="仿宋_GB2312"/>
              </w:rPr>
              <w:t>根据供应商针对本项目可能出现的各类突发事件制定的安全保障与应急处理方案及处置措施完整性、合理性，可操作性，进行综合比较。方案完整、架构合理，可行性强，提出详细、具体、明确内容，针对性强，得11-15分；方案及架构一般、有可行性和针对性，得6-10分；方案架构有欠缺、可行性和针对性不强，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针对供应商对本项目提供详细的服务质量保障方案，根据合理性，科学性、可操作性，进行综合比较。方案完整、架构合理，可行性强，提出详细、具体、明确内容，针对性强，得7-10分；方案及架构一般、有可行性和针对性，得4-6分；方案架构有欠缺、可行性和针对性不强，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2022年1月至今类似业绩，每提供1个得2分，此项最高得10分，未提供不得分。（供应商须提供合同复印件并加盖公章，否则不计分。）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项目团队组织结构完善、分工明确，项目团队人员配备能满足项目实施各个阶段的要求，根据供应商针对本项目提供的机构设置及人员分工安排进行打分。按其响应程度计0-10分。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项目团队人员配备情况表.docx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服务内容和要求，对服务期限、质量、人员到位情况、响应时间等做出实质性承诺（内容应当包含不能完全履行承诺时愿意接受相关处罚的相关承诺）。磋商小组根据供应商响应内容完善、全面、合理等综合评审，横向比较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供应商拒绝政府采购领域商业贿赂承诺书.docx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详见附件：供应商特定资格要求.docx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详见附件：委托书.docx</w:t>
      </w:r>
    </w:p>
    <w:p>
      <w:pPr>
        <w:pStyle w:val="null3"/>
        <w:ind w:firstLine="960"/>
      </w:pPr>
      <w:r>
        <w:rPr>
          <w:rFonts w:ascii="仿宋_GB2312" w:hAnsi="仿宋_GB2312" w:cs="仿宋_GB2312" w:eastAsia="仿宋_GB2312"/>
        </w:rPr>
        <w:t>详见附件：项目团队人员配备情况表.docx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