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版本号：SXTCH-SL-ZB-202502220251110002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中央环保督察反馈问题杨斜镇辖区矿山空白区灾后生态修复项目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SXTCH-SL-ZB-2025022</w:t>
      </w:r>
      <w:r>
        <w:br/>
      </w:r>
      <w:r>
        <w:br/>
      </w:r>
      <w:r>
        <w:br/>
      </w:r>
    </w:p>
    <w:p>
      <w:pPr>
        <w:pStyle w:val="null3"/>
        <w:jc w:val="center"/>
        <w:outlineLvl w:val="2"/>
      </w:pPr>
      <w:r>
        <w:rPr>
          <w:rFonts w:ascii="仿宋_GB2312" w:hAnsi="仿宋_GB2312" w:cs="仿宋_GB2312" w:eastAsia="仿宋_GB2312"/>
          <w:sz w:val="28"/>
          <w:b/>
        </w:rPr>
        <w:t>商洛市自然资源局商州分局</w:t>
      </w:r>
    </w:p>
    <w:p>
      <w:pPr>
        <w:pStyle w:val="null3"/>
        <w:jc w:val="center"/>
        <w:outlineLvl w:val="2"/>
      </w:pPr>
      <w:r>
        <w:rPr>
          <w:rFonts w:ascii="仿宋_GB2312" w:hAnsi="仿宋_GB2312" w:cs="仿宋_GB2312" w:eastAsia="仿宋_GB2312"/>
          <w:sz w:val="28"/>
          <w:b/>
        </w:rPr>
        <w:t>陕西泰昌恒工程管理有限公司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陕西泰昌恒工程管理有限公司</w:t>
      </w:r>
      <w:r>
        <w:rPr>
          <w:rFonts w:ascii="仿宋_GB2312" w:hAnsi="仿宋_GB2312" w:cs="仿宋_GB2312" w:eastAsia="仿宋_GB2312"/>
        </w:rPr>
        <w:t>（以下简称“代理机构”）受</w:t>
      </w:r>
      <w:r>
        <w:rPr>
          <w:rFonts w:ascii="仿宋_GB2312" w:hAnsi="仿宋_GB2312" w:cs="仿宋_GB2312" w:eastAsia="仿宋_GB2312"/>
        </w:rPr>
        <w:t>商洛市自然资源局商州分局</w:t>
      </w:r>
      <w:r>
        <w:rPr>
          <w:rFonts w:ascii="仿宋_GB2312" w:hAnsi="仿宋_GB2312" w:cs="仿宋_GB2312" w:eastAsia="仿宋_GB2312"/>
        </w:rPr>
        <w:t>委托，拟对</w:t>
      </w:r>
      <w:r>
        <w:rPr>
          <w:rFonts w:ascii="仿宋_GB2312" w:hAnsi="仿宋_GB2312" w:cs="仿宋_GB2312" w:eastAsia="仿宋_GB2312"/>
        </w:rPr>
        <w:t>中央环保督察反馈问题杨斜镇辖区矿山空白区灾后生态修复项目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SXTCH-SL-ZB-2025022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中央环保督察反馈问题杨斜镇辖区矿山空白区灾后生态修复项目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中央环保督查反馈问题杨斜镇辖区矿山空白区灾后生态修复工程，包括大蛇沟、牛耳沟、鹅项沟、马房沟、蒿坪沟六组、蒿坪沟正沟、庙沟、雷家沟等受灾空白区退出区灾后生态修复。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采购包1（中央环保督察反馈问题杨斜镇辖区矿山空白区灾后生态修复项目）：属于专门面向小微企业采购。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1、供应商资质：具备自然资源行政主管部门颁发的地质灾害治理工程施工乙级（含乙级）及以上资质，具有有效的安全生产许可证，并在人员、设备、资金等方面具备相应的施工能力</w:t>
      </w:r>
    </w:p>
    <w:p>
      <w:pPr>
        <w:pStyle w:val="null3"/>
      </w:pPr>
      <w:r>
        <w:rPr>
          <w:rFonts w:ascii="仿宋_GB2312" w:hAnsi="仿宋_GB2312" w:cs="仿宋_GB2312" w:eastAsia="仿宋_GB2312"/>
        </w:rPr>
        <w:t>2、营业执照等主体资格证明文件：投标单位须具备独立法人资格、有效的营业执照且年检合格</w:t>
      </w:r>
    </w:p>
    <w:p>
      <w:pPr>
        <w:pStyle w:val="null3"/>
      </w:pPr>
      <w:r>
        <w:rPr>
          <w:rFonts w:ascii="仿宋_GB2312" w:hAnsi="仿宋_GB2312" w:cs="仿宋_GB2312" w:eastAsia="仿宋_GB2312"/>
        </w:rPr>
        <w:t>3、项目负责人：投标单位拟派项目负责人须具备水利水电工程或建筑工程专业二级（含二级）以上建造师证书及有效的安全生产考核合格证，且未担任其它在建工程项目的项目负责人；</w:t>
      </w:r>
    </w:p>
    <w:p>
      <w:pPr>
        <w:pStyle w:val="null3"/>
      </w:pPr>
      <w:r>
        <w:rPr>
          <w:rFonts w:ascii="仿宋_GB2312" w:hAnsi="仿宋_GB2312" w:cs="仿宋_GB2312" w:eastAsia="仿宋_GB2312"/>
        </w:rPr>
        <w:t>4、业绩：企业近三年内独立承担过类似地质灾害治理工程</w:t>
      </w:r>
    </w:p>
    <w:p>
      <w:pPr>
        <w:pStyle w:val="null3"/>
      </w:pPr>
      <w:r>
        <w:rPr>
          <w:rFonts w:ascii="仿宋_GB2312" w:hAnsi="仿宋_GB2312" w:cs="仿宋_GB2312" w:eastAsia="仿宋_GB2312"/>
        </w:rPr>
        <w:t>5、信用记录：投标人不得在信用中国网站（http://www.creditchina.gov.cn/）中被列入失信被执行人，不得在各级建设诚信信息平台被列为投标受限制的行为人</w:t>
      </w:r>
    </w:p>
    <w:p>
      <w:pPr>
        <w:pStyle w:val="null3"/>
      </w:pPr>
      <w:r>
        <w:rPr>
          <w:rFonts w:ascii="仿宋_GB2312" w:hAnsi="仿宋_GB2312" w:cs="仿宋_GB2312" w:eastAsia="仿宋_GB2312"/>
        </w:rPr>
        <w:t>6、法定代表人授权委托书：法定代表人或负责人授权书（附法定代表人或负责人身份证复印件）及被授权人身份证（法定代表人或负责人直接参加投标只须提供法定代表人或负责人身份证）</w:t>
      </w:r>
    </w:p>
    <w:p>
      <w:pPr>
        <w:pStyle w:val="null3"/>
      </w:pPr>
      <w:r>
        <w:rPr>
          <w:rFonts w:ascii="仿宋_GB2312" w:hAnsi="仿宋_GB2312" w:cs="仿宋_GB2312" w:eastAsia="仿宋_GB2312"/>
        </w:rPr>
        <w:t>7、财务状况报告：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8、税收缴纳证明：提供投标截止日前近一年内任意一个月的纳税证明或完税证明（任意税种），依法免税的单位应提供相关证明材料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9、社保缴纳证明：提供投标截止日前近一年内任意一个月的社会保障资金缴存单据或社保机构开具的社会保险参保缴费情况证明，依法不需要缴纳社会保障资金的单位应提供相关证明材料；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10、履行合同承诺函：提供具有履行合同所必需的设备和专业技术能力的承诺函</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12、无重大违纪声明：参加本次政府采购活动前三年内在经营活动中没有重大违纪的书面声明</w:t>
      </w:r>
    </w:p>
    <w:p>
      <w:pPr>
        <w:pStyle w:val="null3"/>
      </w:pPr>
      <w:r>
        <w:rPr>
          <w:rFonts w:ascii="仿宋_GB2312" w:hAnsi="仿宋_GB2312" w:cs="仿宋_GB2312" w:eastAsia="仿宋_GB2312"/>
        </w:rPr>
        <w:t>13、加入陕西省政府采购网供应商库截图：供应商须在陕西省政府采购网（http://www.ccgp-shaanxi.gov.cn/）注册登记加入陕西省政府采购供应商库</w:t>
      </w:r>
    </w:p>
    <w:p>
      <w:pPr>
        <w:pStyle w:val="null3"/>
      </w:pPr>
      <w:r>
        <w:rPr>
          <w:rFonts w:ascii="仿宋_GB2312" w:hAnsi="仿宋_GB2312" w:cs="仿宋_GB2312" w:eastAsia="仿宋_GB2312"/>
        </w:rPr>
        <w:t>14、供应商书面声明：供应商书面声明：供应商未为本项目提供整体设计、规范编制或者项目管理、监理、检测等服务的书面声明</w:t>
      </w:r>
    </w:p>
    <w:p>
      <w:pPr>
        <w:pStyle w:val="null3"/>
      </w:pPr>
      <w:r>
        <w:rPr>
          <w:rFonts w:ascii="仿宋_GB2312" w:hAnsi="仿宋_GB2312" w:cs="仿宋_GB2312" w:eastAsia="仿宋_GB2312"/>
        </w:rPr>
        <w:t>15、非联合体声明：本项目不接受联合体投标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 购 人： </w:t>
      </w:r>
      <w:r>
        <w:rPr>
          <w:rFonts w:ascii="仿宋_GB2312" w:hAnsi="仿宋_GB2312" w:cs="仿宋_GB2312" w:eastAsia="仿宋_GB2312"/>
          <w:sz w:val="24"/>
          <w:b/>
        </w:rPr>
        <w:t>商洛市自然资源局商州分局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陕西省商洛市商州区文卫路南段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商洛市自然资源局商州分局经办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18009149432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陕西泰昌恒工程管理有限公司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陕西省商洛市通江花园小区1号楼1单元101室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15829331874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采购包1：1,427,800.00元</w:t>
            </w:r>
          </w:p>
          <w:p>
            <w:pPr>
              <w:pStyle w:val="null3"/>
            </w:pP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开户名称：陕西泰昌恒工程管理有限公司商洛分公司</w:t>
            </w:r>
          </w:p>
          <w:p>
            <w:pPr>
              <w:pStyle w:val="null3"/>
            </w:pPr>
            <w:r>
              <w:rPr>
                <w:rFonts w:ascii="仿宋_GB2312" w:hAnsi="仿宋_GB2312" w:cs="仿宋_GB2312" w:eastAsia="仿宋_GB2312"/>
              </w:rPr>
              <w:t>开户银行：中国工商银行股份有限公司商洛行政广场支行</w:t>
            </w:r>
          </w:p>
          <w:p>
            <w:pPr>
              <w:pStyle w:val="null3"/>
            </w:pPr>
            <w:r>
              <w:rPr>
                <w:rFonts w:ascii="仿宋_GB2312" w:hAnsi="仿宋_GB2312" w:cs="仿宋_GB2312" w:eastAsia="仿宋_GB2312"/>
              </w:rPr>
              <w:t>银行账号：2608070409200072450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说明：按照中标价的3%缴纳履约保证金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代理服务费收费标准：据国家计委【计价格(2002)1980号】及国家发展改革委员会办公厅颁发的（发改价格[2003]857 号）文件规定收取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是否组织潜在供应商踏现场考察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商洛市自然资源局商州分局</w:t>
      </w:r>
      <w:r>
        <w:rPr>
          <w:rFonts w:ascii="仿宋_GB2312" w:hAnsi="仿宋_GB2312" w:cs="仿宋_GB2312" w:eastAsia="仿宋_GB2312"/>
        </w:rPr>
        <w:t>和</w:t>
      </w:r>
      <w:r>
        <w:rPr>
          <w:rFonts w:ascii="仿宋_GB2312" w:hAnsi="仿宋_GB2312" w:cs="仿宋_GB2312" w:eastAsia="仿宋_GB2312"/>
        </w:rPr>
        <w:t>陕西泰昌恒工程管理有限公司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商洛市自然资源局商州分局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陕西泰昌恒工程管理有限公司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商洛市自然资源局商州分局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陕西泰昌恒工程管理有限公司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rFonts w:ascii="仿宋_GB2312" w:hAnsi="仿宋_GB2312" w:cs="仿宋_GB2312" w:eastAsia="仿宋_GB2312"/>
          <w:sz w:val="24"/>
          <w:b/>
        </w:rPr>
        <w:t>2.3.3答疑会和现场考察</w:t>
      </w:r>
    </w:p>
    <w:p>
      <w:pPr>
        <w:pStyle w:val="null3"/>
        <w:ind w:firstLine="480"/>
      </w:pPr>
      <w:r>
        <w:rPr>
          <w:rFonts w:ascii="仿宋_GB2312" w:hAnsi="仿宋_GB2312" w:cs="仿宋_GB2312" w:eastAsia="仿宋_GB2312"/>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rFonts w:ascii="仿宋_GB2312" w:hAnsi="仿宋_GB2312" w:cs="仿宋_GB2312" w:eastAsia="仿宋_GB2312"/>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rFonts w:ascii="仿宋_GB2312" w:hAnsi="仿宋_GB2312" w:cs="仿宋_GB2312" w:eastAsia="仿宋_GB2312"/>
        </w:rPr>
        <w:t>三、供应商考察现场或者参加答疑会所发生的一切费用由供应商自己承担。</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w:t>
      </w:r>
    </w:p>
    <w:p>
      <w:pPr>
        <w:pStyle w:val="null3"/>
        <w:ind w:firstLine="480"/>
        <w:jc w:val="left"/>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三、供应商完成响应文件编制后，应按照谈判文件第一章明确的签章要求，使用互认的证书及签章对响应文件进行电子签章和加密。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采购人自政府采购合同签订（双方当事人均已完成盖章）之日起7个工作日内，将本项目采购合同通过政府采购平台进行备案。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达到施工图设计标准。</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陕西泰昌恒工程管理有限公司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陕西泰昌恒工程管理有限公司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陕西泰昌恒工程管理有限公司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联系人：杨柳</w:t>
      </w:r>
    </w:p>
    <w:p>
      <w:pPr>
        <w:pStyle w:val="null3"/>
      </w:pPr>
      <w:r>
        <w:rPr>
          <w:rFonts w:ascii="仿宋_GB2312" w:hAnsi="仿宋_GB2312" w:cs="仿宋_GB2312" w:eastAsia="仿宋_GB2312"/>
        </w:rPr>
        <w:t>联系电话：15829331874</w:t>
      </w:r>
    </w:p>
    <w:p>
      <w:pPr>
        <w:pStyle w:val="null3"/>
      </w:pPr>
      <w:r>
        <w:rPr>
          <w:rFonts w:ascii="仿宋_GB2312" w:hAnsi="仿宋_GB2312" w:cs="仿宋_GB2312" w:eastAsia="仿宋_GB2312"/>
        </w:rPr>
        <w:t>地址：陕西省商洛市通江花园小区1号楼1单元101室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标的名称：中央环保督察反馈问题杨斜镇辖区矿山空白区灾后生态修复项目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挡土墙砌筑施工：墙体砌筑均采用座桨法分段、分层砌筑。砂浆稠度不易过大，块石应大致方正，厚度不小于15cm，宽度和长度应为厚度的1.5-2倍，块石表面清洗干净；砌筑拦渣墙砂浆标号为M10，砂的含泥量应不大于3%。</w:t>
            </w:r>
          </w:p>
          <w:p>
            <w:pPr>
              <w:pStyle w:val="null3"/>
            </w:pPr>
            <w:r>
              <w:rPr>
                <w:rFonts w:ascii="仿宋_GB2312" w:hAnsi="仿宋_GB2312" w:cs="仿宋_GB2312" w:eastAsia="仿宋_GB2312"/>
              </w:rPr>
              <w:t>2、截排水渠：排水沟采用C20混凝土砌筑，倾斜方向应与地面地表水流向一致，确保沟内汇水顺畅排出。人工开挖沟槽后，须对沟槽后进行底边修整整平，然后方可进入下一道工序施工。</w:t>
            </w:r>
          </w:p>
          <w:p>
            <w:pPr>
              <w:pStyle w:val="null3"/>
            </w:pPr>
            <w:r>
              <w:rPr>
                <w:rFonts w:ascii="仿宋_GB2312" w:hAnsi="仿宋_GB2312" w:cs="仿宋_GB2312" w:eastAsia="仿宋_GB2312"/>
              </w:rPr>
              <w:t>3、格宾笼挡墙：均匀地向同层的各箱格内投料，严禁将单格网箱一次性投满。填料施工中，采用机械和人工相配合的施工方法，首先用机械将石料运至箱体附近，再用人工将周边的石料摆放整齐，用细石填缝密实。</w:t>
            </w:r>
          </w:p>
          <w:p>
            <w:pPr>
              <w:pStyle w:val="null3"/>
            </w:pPr>
            <w:r>
              <w:rPr>
                <w:rFonts w:ascii="仿宋_GB2312" w:hAnsi="仿宋_GB2312" w:cs="仿宋_GB2312" w:eastAsia="仿宋_GB2312"/>
              </w:rPr>
              <w:t>4、鱼鳞坑植树绿化：在标记位置进行刨坑，以定点标记为中心，以设计打穴规格先在地上划线，打穴规格为40*40*40㎝，沿划线范围的四周向下垂直挖掘到规定的深度。然后将坑底（刨）松、弄平。</w:t>
            </w:r>
          </w:p>
          <w:p>
            <w:pPr>
              <w:pStyle w:val="null3"/>
            </w:pPr>
            <w:r>
              <w:rPr>
                <w:rFonts w:ascii="仿宋_GB2312" w:hAnsi="仿宋_GB2312" w:cs="仿宋_GB2312" w:eastAsia="仿宋_GB2312"/>
              </w:rPr>
              <w:t>具体以清单为准。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1.对于不允许偏离的实质性要求和条件，采购人或者代理机构应当在谈判文件中规定，并以醒目的方式标明。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通过电子化交易系统谈判，供应商需在电子化交易系统上传响应的文件。成交供应商领取中标（成交）通知书时，向采购代理机构提供一正两副纸质响应文件及电子版1份（签字盖章扫描PDF和word文档格式，U盘存储）。2.供应商应自响应文件递交截止时间起至开标结束，保持在线状态。3.工期：合同签订后60日历天。4.质量保修期：验收合格后1年。5.本项目合同计价方式为固定总价合同，供应商的报价应包含完成该项目工作所发生的全部费用以及投标人企业利润、税金和政 策性文件规定及合同包含的所有风险、责任等一切费用；供应商必须对所投项目全部内容进行完整报价，并列出明细及价格组成。采购人不接受（将拒绝）只对项目部分内容进行报价的投标。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供应商应提交的相关资格证明材料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具备自然资源行政主管部门颁发的地质灾害治理工程施工乙级（含乙级）及以上资质，具有有效的安全生产许可证，并在人员、设备、资金等方面具备相应的施工能力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投标单位须具备独立法人资格、有效的营业执照且年检合格</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投标单位拟派项目负责人须具备水利水电工程或建筑工程专业二级（含二级）以上建造师证书及有效的安全生产考核合格证，且未担任其它在建工程项目的项目负责人；</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企业近三年内独立承担过类似地质灾害治理工程</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投标人不得在信用中国网站（http://www.creditchina.gov.cn/）中被列入失信被执行人，不得在各级建设诚信信息平台被列为投标受限制的行为人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法定代表人或负责人授权书（附法定代表人或负责人身份证复印件）及被授权人身份证（法定代表人或负责人直接参加投标只须提供法定代表人或负责人身份证）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无重大违纪声明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加入陕西省政府采购网供应商库截图</w:t>
            </w:r>
          </w:p>
        </w:tc>
        <w:tc>
          <w:tcPr>
            <w:tcW w:type="dxa" w:w="3322"/>
          </w:tcPr>
          <w:p>
            <w:pPr>
              <w:pStyle w:val="null3"/>
            </w:pPr>
            <w:r>
              <w:rPr>
                <w:rFonts w:ascii="仿宋_GB2312" w:hAnsi="仿宋_GB2312" w:cs="仿宋_GB2312" w:eastAsia="仿宋_GB2312"/>
              </w:rPr>
              <w:t>供应商须在陕西省政府采购网（http://www.ccgp-shaanxi.gov.cn/）注册登记加入陕西省政府采购供应商库</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供应商书面声明：供应商未为本项目提供整体设计、规范编制或者项目管理、监理、检测等服务的书面声明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rFonts w:ascii="仿宋_GB2312" w:hAnsi="仿宋_GB2312" w:cs="仿宋_GB2312" w:eastAsia="仿宋_GB2312"/>
        </w:rPr>
        <w:t>注：工程量清单不属于谈判过程中可以实质性变动的内容。</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四、谈判小组按照谈判文件规定的谈判程序、评审方法和标准进行评审，并独立履行下列职责：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（一）熟悉和理解谈判文件，确定谈判文件内容是否违反国家有关强制性规定或者谈判文件存在歧义、重大缺陷；</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rFonts w:ascii="仿宋_GB2312" w:hAnsi="仿宋_GB2312" w:cs="仿宋_GB2312" w:eastAsia="仿宋_GB2312"/>
        </w:rPr>
        <w:t>二、谈判小组对供应商已标价工程量清单进行算术性复核，如果出现下列不一致的，按以下原则进行修正：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（1）报价大写金额和小写金额不一致的，以大写金额为准。但大写金额文字存在错误的，应当先对大写金额的文字错误进行澄清、说明或者更正，再行修正。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四、谈判小组对所有响应文件进行审查后，确定参加谈判的供应商名单。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标的清单 供应商应提交的相关资格证明材料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符合采购文件规定，签字盖章齐全</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供应商应提交的相关资格证明材料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只能有一个有效报价，不得提交选择性报价。报价未超过最高限价或采购预算。</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应在“供应商须知前附表”规定时间内转入指定账户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供应商应提交的相关资格证明材料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供应商应提交的相关资格证明材料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供应商应提交的相关资格证明材料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rFonts w:ascii="仿宋_GB2312" w:hAnsi="仿宋_GB2312" w:cs="仿宋_GB2312" w:eastAsia="仿宋_GB2312"/>
        </w:rPr>
        <w:t>二、每轮谈判开始前，谈判小组应根据谈判文件的规定，并结合各供应商的响应文件拟定谈判内容。</w:t>
      </w:r>
    </w:p>
    <w:p>
      <w:pPr>
        <w:pStyle w:val="null3"/>
        <w:ind w:firstLine="480"/>
      </w:pPr>
      <w:r>
        <w:rPr>
          <w:rFonts w:ascii="仿宋_GB2312" w:hAnsi="仿宋_GB2312" w:cs="仿宋_GB2312" w:eastAsia="仿宋_GB2312"/>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rFonts w:ascii="仿宋_GB2312" w:hAnsi="仿宋_GB2312" w:cs="仿宋_GB2312" w:eastAsia="仿宋_GB2312"/>
        </w:rPr>
        <w:t xml:space="preserve"> 四、对谈判文件作出的实质性变动是谈判文件的有效组成部分，谈判小组应当及时以书面形式同时通知所有参加谈判的供应商。</w:t>
      </w:r>
    </w:p>
    <w:p>
      <w:pPr>
        <w:pStyle w:val="null3"/>
        <w:ind w:firstLine="480"/>
      </w:pPr>
      <w:r>
        <w:rPr>
          <w:rFonts w:ascii="仿宋_GB2312" w:hAnsi="仿宋_GB2312" w:cs="仿宋_GB2312" w:eastAsia="仿宋_GB2312"/>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rFonts w:ascii="仿宋_GB2312" w:hAnsi="仿宋_GB2312" w:cs="仿宋_GB2312" w:eastAsia="仿宋_GB2312"/>
        </w:rPr>
        <w:t>六、经最终谈判后，响应文件仍有下列情况之一的，应按照无效响应文件处理：</w:t>
      </w:r>
    </w:p>
    <w:p>
      <w:pPr>
        <w:pStyle w:val="null3"/>
        <w:ind w:firstLine="480"/>
      </w:pPr>
      <w:r>
        <w:rPr>
          <w:rFonts w:ascii="仿宋_GB2312" w:hAnsi="仿宋_GB2312" w:cs="仿宋_GB2312" w:eastAsia="仿宋_GB2312"/>
        </w:rPr>
        <w:t>（1）响应文件仍不能实质响应谈判文件的实质性要求的；</w:t>
      </w:r>
    </w:p>
    <w:p>
      <w:pPr>
        <w:pStyle w:val="null3"/>
        <w:ind w:firstLine="480"/>
      </w:pPr>
      <w:r>
        <w:rPr>
          <w:rFonts w:ascii="仿宋_GB2312" w:hAnsi="仿宋_GB2312" w:cs="仿宋_GB2312" w:eastAsia="仿宋_GB2312"/>
        </w:rPr>
        <w:t>（2）响应文件中仍有谈判文件规定的其他无效响应情形的。</w:t>
      </w:r>
    </w:p>
    <w:p>
      <w:pPr>
        <w:pStyle w:val="null3"/>
        <w:ind w:firstLine="480"/>
      </w:pPr>
      <w:r>
        <w:rPr>
          <w:rFonts w:ascii="仿宋_GB2312" w:hAnsi="仿宋_GB2312" w:cs="仿宋_GB2312" w:eastAsia="仿宋_GB2312"/>
        </w:rPr>
        <w:t>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6.3.6解释、澄清有关问题</w:t>
      </w:r>
    </w:p>
    <w:p>
      <w:pPr>
        <w:pStyle w:val="null3"/>
        <w:ind w:firstLine="480"/>
      </w:pPr>
      <w:r>
        <w:rPr>
          <w:rFonts w:ascii="仿宋_GB2312" w:hAnsi="仿宋_GB2312" w:cs="仿宋_GB2312" w:eastAsia="仿宋_GB2312"/>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rFonts w:ascii="仿宋_GB2312" w:hAnsi="仿宋_GB2312" w:cs="仿宋_GB2312" w:eastAsia="仿宋_GB2312"/>
        </w:rPr>
        <w:t>（一）供应商响应文件中不响应谈判文件规定的技术参数指标和商务应答；</w:t>
      </w:r>
    </w:p>
    <w:p>
      <w:pPr>
        <w:pStyle w:val="null3"/>
        <w:ind w:firstLine="480"/>
      </w:pPr>
      <w:r>
        <w:rPr>
          <w:rFonts w:ascii="仿宋_GB2312" w:hAnsi="仿宋_GB2312" w:cs="仿宋_GB2312" w:eastAsia="仿宋_GB2312"/>
        </w:rPr>
        <w:t>（二）供应商响应文件中未提供的证明其是否符合谈判文件资格、符合性规定要求的相关材料。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rFonts w:ascii="仿宋_GB2312" w:hAnsi="仿宋_GB2312" w:cs="仿宋_GB2312" w:eastAsia="仿宋_GB2312"/>
        </w:rPr>
        <w:t>六、谈判小组应当积极履行澄清、说明或者更正的职责，不得滥用权力。</w:t>
      </w:r>
    </w:p>
    <w:p>
      <w:pPr>
        <w:pStyle w:val="null3"/>
        <w:outlineLvl w:val="3"/>
      </w:pPr>
      <w:r>
        <w:rPr>
          <w:rFonts w:ascii="仿宋_GB2312" w:hAnsi="仿宋_GB2312" w:cs="仿宋_GB2312" w:eastAsia="仿宋_GB2312"/>
          <w:sz w:val="24"/>
          <w:b/>
        </w:rPr>
        <w:t>6.3.7谈判小组复核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jc w:val="left"/>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谈判小组复核后，应当从质量和服务均能满足采购文件实质性响应要求的供应商中，按照最后报价由低到高顺序推荐如下家数成交候选供应商，并编写谈判报告。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6.3.9采购组织单位现场复核评审结果</w:t>
      </w:r>
    </w:p>
    <w:p>
      <w:pPr>
        <w:pStyle w:val="null3"/>
        <w:ind w:firstLine="480"/>
      </w:pPr>
      <w:r>
        <w:rPr>
          <w:rFonts w:ascii="仿宋_GB2312" w:hAnsi="仿宋_GB2312" w:cs="仿宋_GB2312" w:eastAsia="仿宋_GB2312"/>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rFonts w:ascii="仿宋_GB2312" w:hAnsi="仿宋_GB2312" w:cs="仿宋_GB2312" w:eastAsia="仿宋_GB2312"/>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rFonts w:ascii="仿宋_GB2312" w:hAnsi="仿宋_GB2312" w:cs="仿宋_GB2312" w:eastAsia="仿宋_GB2312"/>
        </w:rPr>
        <w:t>三、代理机构复核过程中，谈判小组成员不得离开评审现场。</w:t>
      </w:r>
    </w:p>
    <w:p>
      <w:pPr>
        <w:pStyle w:val="null3"/>
        <w:outlineLvl w:val="3"/>
      </w:pPr>
      <w:r>
        <w:rPr>
          <w:rFonts w:ascii="仿宋_GB2312" w:hAnsi="仿宋_GB2312" w:cs="仿宋_GB2312" w:eastAsia="仿宋_GB2312"/>
          <w:sz w:val="24"/>
          <w:b/>
        </w:rPr>
        <w:t>6.3.10编写谈判报告</w:t>
      </w:r>
    </w:p>
    <w:p>
      <w:pPr>
        <w:pStyle w:val="null3"/>
        <w:ind w:firstLine="480"/>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pPr>
      <w:r>
        <w:rPr>
          <w:rFonts w:ascii="仿宋_GB2312" w:hAnsi="仿宋_GB2312" w:cs="仿宋_GB2312" w:eastAsia="仿宋_GB2312"/>
        </w:rPr>
        <w:t>（1）邀请供应商参加采购活动的具体方式和相关情况，以及参加采购活动的供应商名单；</w:t>
      </w:r>
    </w:p>
    <w:p>
      <w:pPr>
        <w:pStyle w:val="null3"/>
        <w:ind w:firstLine="480"/>
      </w:pPr>
      <w:r>
        <w:rPr>
          <w:rFonts w:ascii="仿宋_GB2312" w:hAnsi="仿宋_GB2312" w:cs="仿宋_GB2312" w:eastAsia="仿宋_GB2312"/>
        </w:rPr>
        <w:t>（2）评审日期和地点，谈判小组成员名单；</w:t>
      </w:r>
    </w:p>
    <w:p>
      <w:pPr>
        <w:pStyle w:val="null3"/>
        <w:ind w:firstLine="480"/>
      </w:pPr>
      <w:r>
        <w:rPr>
          <w:rFonts w:ascii="仿宋_GB2312" w:hAnsi="仿宋_GB2312" w:cs="仿宋_GB2312" w:eastAsia="仿宋_GB2312"/>
        </w:rPr>
        <w:t>（3）评审情况记录和说明，包括供应商响应文件审查情况、谈判情况、报价情况等；</w:t>
      </w:r>
    </w:p>
    <w:p>
      <w:pPr>
        <w:pStyle w:val="null3"/>
        <w:ind w:firstLine="480"/>
      </w:pPr>
      <w:r>
        <w:rPr>
          <w:rFonts w:ascii="仿宋_GB2312" w:hAnsi="仿宋_GB2312" w:cs="仿宋_GB2312" w:eastAsia="仿宋_GB2312"/>
        </w:rPr>
        <w:t>（4）推荐的成交候选人的名单及理由。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rFonts w:ascii="仿宋_GB2312" w:hAnsi="仿宋_GB2312" w:cs="仿宋_GB2312" w:eastAsia="仿宋_GB2312"/>
          <w:sz w:val="24"/>
          <w:b/>
        </w:rPr>
        <w:t>6.3.11谈判异议处理规则</w:t>
      </w:r>
    </w:p>
    <w:p>
      <w:pPr>
        <w:pStyle w:val="null3"/>
        <w:ind w:firstLine="480"/>
      </w:pPr>
      <w:r>
        <w:rPr>
          <w:rFonts w:ascii="仿宋_GB2312" w:hAnsi="仿宋_GB2312" w:cs="仿宋_GB2312" w:eastAsia="仿宋_GB2312"/>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rFonts w:ascii="仿宋_GB2312" w:hAnsi="仿宋_GB2312" w:cs="仿宋_GB2312" w:eastAsia="仿宋_GB2312"/>
          <w:sz w:val="24"/>
          <w:b/>
        </w:rPr>
        <w:t>6.4终止谈判活动情形</w:t>
      </w:r>
    </w:p>
    <w:p>
      <w:pPr>
        <w:pStyle w:val="null3"/>
        <w:ind w:firstLine="480"/>
      </w:pPr>
      <w:r>
        <w:rPr>
          <w:rFonts w:ascii="仿宋_GB2312" w:hAnsi="仿宋_GB2312" w:cs="仿宋_GB2312" w:eastAsia="仿宋_GB2312"/>
        </w:rPr>
        <w:t xml:space="preserve"> 出现下列情形之一的，采购人或者代理机构应当终止竞争性谈判采购活动，发布项目终止公告并说明原因，重新开展采购活动：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6.7谈判小组在政府采购活动中应当遵守以下工作纪律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响应文件格式</w:t>
      </w:r>
    </w:p>
    <w:p>
      <w:pPr>
        <w:pStyle w:val="null3"/>
        <w:jc w:val="left"/>
      </w:pPr>
      <w:r>
        <w:rPr>
          <w:rFonts w:ascii="仿宋_GB2312" w:hAnsi="仿宋_GB2312" w:cs="仿宋_GB2312" w:eastAsia="仿宋_GB2312"/>
        </w:rPr>
        <w:t>一、本章所制响应文件格式，除格式中明确将该格式作为实质性要求的，不具有强制性。</w:t>
      </w:r>
    </w:p>
    <w:p>
      <w:pPr>
        <w:pStyle w:val="null3"/>
        <w:jc w:val="left"/>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