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版本号：LRYH-2025-0420251210001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商洛市大气环境监测能力提升项目二标段(二次)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LRYH-2025-04</w:t>
      </w:r>
      <w:r>
        <w:br/>
      </w:r>
      <w:r>
        <w:br/>
      </w:r>
      <w:r>
        <w:br/>
      </w:r>
    </w:p>
    <w:p>
      <w:pPr>
        <w:pStyle w:val="null3"/>
        <w:jc w:val="center"/>
        <w:outlineLvl w:val="2"/>
      </w:pPr>
      <w:r>
        <w:rPr>
          <w:rFonts w:ascii="仿宋_GB2312" w:hAnsi="仿宋_GB2312" w:cs="仿宋_GB2312" w:eastAsia="仿宋_GB2312"/>
          <w:sz w:val="28"/>
          <w:b/>
        </w:rPr>
        <w:t>商洛市环境监测站</w:t>
      </w:r>
    </w:p>
    <w:p>
      <w:pPr>
        <w:pStyle w:val="null3"/>
        <w:jc w:val="center"/>
        <w:outlineLvl w:val="2"/>
      </w:pPr>
      <w:r>
        <w:rPr>
          <w:rFonts w:ascii="仿宋_GB2312" w:hAnsi="仿宋_GB2312" w:cs="仿宋_GB2312" w:eastAsia="仿宋_GB2312"/>
          <w:sz w:val="28"/>
          <w:b/>
        </w:rPr>
        <w:t>麟瑞岳华工程管理有限公司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麟瑞岳华工程管理有限公司</w:t>
      </w:r>
      <w:r>
        <w:rPr>
          <w:rFonts w:ascii="仿宋_GB2312" w:hAnsi="仿宋_GB2312" w:cs="仿宋_GB2312" w:eastAsia="仿宋_GB2312"/>
        </w:rPr>
        <w:t>（以下简称“代理机构”）受</w:t>
      </w:r>
      <w:r>
        <w:rPr>
          <w:rFonts w:ascii="仿宋_GB2312" w:hAnsi="仿宋_GB2312" w:cs="仿宋_GB2312" w:eastAsia="仿宋_GB2312"/>
        </w:rPr>
        <w:t>商洛市环境监测站</w:t>
      </w:r>
      <w:r>
        <w:rPr>
          <w:rFonts w:ascii="仿宋_GB2312" w:hAnsi="仿宋_GB2312" w:cs="仿宋_GB2312" w:eastAsia="仿宋_GB2312"/>
        </w:rPr>
        <w:t>委托，拟对</w:t>
      </w:r>
      <w:r>
        <w:rPr>
          <w:rFonts w:ascii="仿宋_GB2312" w:hAnsi="仿宋_GB2312" w:cs="仿宋_GB2312" w:eastAsia="仿宋_GB2312"/>
        </w:rPr>
        <w:t>商洛市大气环境监测能力提升项目二标段(二次)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LRYH-2025-04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商洛市大气环境监测能力提升项目二标段(二次)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按照市环保局要求对重点单位、河流、尾矿库、矿区及石场的废水、大气排放（主要包含PM2.5 、PM10、 CO、 SO2、 NO2、 O3 、TVOC 、恶臭OU）、环境安全进行无人机巡查。拍摄记录实地影像，进行初步甄别，并形成巡查成果报告（包含文字及影像、视频编辑等），巡查完毕后巡查成果报告。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采购包1（商洛市大气环境监测能力提升项目二标段）：属于专门面向中小企业采购。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1、营业执照等主体资格证明文件：具有独立承担民事责任能力的法人、其他组织或自然人，提供合法有效的营业执照（事业单位提供事业单位法人证书，自然人提供身份证）；</w:t>
      </w:r>
    </w:p>
    <w:p>
      <w:pPr>
        <w:pStyle w:val="null3"/>
      </w:pPr>
      <w:r>
        <w:rPr>
          <w:rFonts w:ascii="仿宋_GB2312" w:hAnsi="仿宋_GB2312" w:cs="仿宋_GB2312" w:eastAsia="仿宋_GB2312"/>
        </w:rPr>
        <w:t>2、法定代表人授权托书：法定代表人授权书及被授权人身份证明。（法定代表人直接参与投标只须提供其身份证明）</w:t>
      </w:r>
    </w:p>
    <w:p>
      <w:pPr>
        <w:pStyle w:val="null3"/>
      </w:pPr>
      <w:r>
        <w:rPr>
          <w:rFonts w:ascii="仿宋_GB2312" w:hAnsi="仿宋_GB2312" w:cs="仿宋_GB2312" w:eastAsia="仿宋_GB2312"/>
        </w:rPr>
        <w:t>3、财务状况报告：提供2024年的财务审计报告（成立时间至投标截止时间不足一年的可提供成立后任意时段的资产负债表），或其开标前三个月内基本开户银行出具的资信证明及基本存款账户信息；</w:t>
      </w:r>
    </w:p>
    <w:p>
      <w:pPr>
        <w:pStyle w:val="null3"/>
      </w:pPr>
      <w:r>
        <w:rPr>
          <w:rFonts w:ascii="仿宋_GB2312" w:hAnsi="仿宋_GB2312" w:cs="仿宋_GB2312" w:eastAsia="仿宋_GB2312"/>
        </w:rPr>
        <w:t>4、税收缴纳证明：提供投标截止日前半年内已缴纳任意1个月的纳税证明或完税证明（任意税种），依法免税的单位应提供相关的证明材料；</w:t>
      </w:r>
    </w:p>
    <w:p>
      <w:pPr>
        <w:pStyle w:val="null3"/>
      </w:pPr>
      <w:r>
        <w:rPr>
          <w:rFonts w:ascii="仿宋_GB2312" w:hAnsi="仿宋_GB2312" w:cs="仿宋_GB2312" w:eastAsia="仿宋_GB2312"/>
        </w:rPr>
        <w:t>5、社保缴纳证明：提供投标截止日前半年内已缴存的任意1个月的社会保障资金缴存单据或社保机构开具的社会保险参保缴费情况证明；依法不需要缴纳社会保障资金的单位应提供相关证明材料；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信用记录：提供《供应商信用记录书面声明函》（按格式填写，提供原件）。投标人未被列入“信用中国”网站记录的“失信被执行人”“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8、控股管理关系：单位负责人为同一人或者存在直接控股、管理关系的不同投标人，不得参加同一合同项下的政府采购活动；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9、书面说明：提供具有履行合同所必需的设备和专业技术能力的承诺函；</w:t>
      </w:r>
    </w:p>
    <w:p>
      <w:pPr>
        <w:pStyle w:val="null3"/>
      </w:pPr>
      <w:r>
        <w:rPr>
          <w:rFonts w:ascii="仿宋_GB2312" w:hAnsi="仿宋_GB2312" w:cs="仿宋_GB2312" w:eastAsia="仿宋_GB2312"/>
        </w:rPr>
        <w:t>10、本项目不接受联合体投标，不允许分包：供应商应提供《非联合体不分包投标声明》，视为独立投标，不分包；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商洛市商州区民生路环保大楼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商洛市环境监测站经办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0914-2313336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麟瑞岳华工程管理有限公司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商洛市商州区文卫路42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13991503155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开户名称：麟瑞岳华工程管理有限公司</w:t>
            </w:r>
          </w:p>
          <w:p>
            <w:pPr>
              <w:pStyle w:val="null3"/>
            </w:pPr>
            <w:r>
              <w:rPr>
                <w:rFonts w:ascii="仿宋_GB2312" w:hAnsi="仿宋_GB2312" w:cs="仿宋_GB2312" w:eastAsia="仿宋_GB2312"/>
              </w:rPr>
              <w:t>开户银行：中国农业银行股份有限公司西安南二环支行</w:t>
            </w:r>
          </w:p>
          <w:p>
            <w:pPr>
              <w:pStyle w:val="null3"/>
            </w:pPr>
            <w:r>
              <w:rPr>
                <w:rFonts w:ascii="仿宋_GB2312" w:hAnsi="仿宋_GB2312" w:cs="仿宋_GB2312" w:eastAsia="仿宋_GB2312"/>
              </w:rPr>
              <w:t>银行账号：26126701040015119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说明：中标供应商在与采购人签订合同前，须缴纳履约保证金。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代理服务费收费标准：参照原国家计委关于印发《招标代理服务收费管理暂行办法》的通知（计价格〔2002〕1980 号）、《国家发展改革委关于降低部分建设项目收费标准规范收费行为等有关问题的通知》（发改价格[2011]534号）规定的收费标准收取，由成交供应商领取中标通知书时支付代理服务费。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商洛市环境监测站</w:t>
      </w:r>
      <w:r>
        <w:rPr>
          <w:rFonts w:ascii="仿宋_GB2312" w:hAnsi="仿宋_GB2312" w:cs="仿宋_GB2312" w:eastAsia="仿宋_GB2312"/>
        </w:rPr>
        <w:t>和</w:t>
      </w:r>
      <w:r>
        <w:rPr>
          <w:rFonts w:ascii="仿宋_GB2312" w:hAnsi="仿宋_GB2312" w:cs="仿宋_GB2312" w:eastAsia="仿宋_GB2312"/>
        </w:rPr>
        <w:t>麟瑞岳华工程管理有限公司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商洛市环境监测站</w:t>
      </w:r>
      <w:r>
        <w:rPr>
          <w:rFonts w:ascii="仿宋_GB2312" w:hAnsi="仿宋_GB2312" w:cs="仿宋_GB2312" w:eastAsia="仿宋_GB2312"/>
        </w:rPr>
        <w:t>负责解释。除上述招标文件内容，其他内容由</w:t>
      </w:r>
      <w:r>
        <w:rPr>
          <w:rFonts w:ascii="仿宋_GB2312" w:hAnsi="仿宋_GB2312" w:cs="仿宋_GB2312" w:eastAsia="仿宋_GB2312"/>
        </w:rPr>
        <w:t>麟瑞岳华工程管理有限公司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麟瑞岳华工程管理有限公司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麟瑞岳华工程管理有限公司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麟瑞岳华工程管理有限公司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麟瑞岳华工程管理有限公司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联系人：郭先生</w:t>
      </w:r>
    </w:p>
    <w:p>
      <w:pPr>
        <w:pStyle w:val="null3"/>
      </w:pPr>
      <w:r>
        <w:rPr>
          <w:rFonts w:ascii="仿宋_GB2312" w:hAnsi="仿宋_GB2312" w:cs="仿宋_GB2312" w:eastAsia="仿宋_GB2312"/>
        </w:rPr>
        <w:t>联系电话：13991503155</w:t>
      </w:r>
    </w:p>
    <w:p>
      <w:pPr>
        <w:pStyle w:val="null3"/>
      </w:pPr>
      <w:r>
        <w:rPr>
          <w:rFonts w:ascii="仿宋_GB2312" w:hAnsi="仿宋_GB2312" w:cs="仿宋_GB2312" w:eastAsia="仿宋_GB2312"/>
        </w:rPr>
        <w:t>地址：商洛市商州区文卫路42 号</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按照市环保局要求对重点单位、河流、尾矿库、矿区及石场的废水、大气排放（主要包含PM2.5 、PM10、 CO、 SO2、 NO2、 O3 、TVOC 、恶臭OU）、环境安全进行无人机巡查。拍摄记录实地影像，进行初步甄别，并形成巡查成果报告（包含文字及影像、视频编辑等），巡查完毕后巡查成果报告。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98"/>
              <w:gridCol w:w="261"/>
              <w:gridCol w:w="2609"/>
              <w:gridCol w:w="217"/>
            </w:tblGrid>
            <w:tr>
              <w:tc>
                <w:tcPr>
                  <w:tcW w:type="dxa" w:w="318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二标段</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2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数量（台</w:t>
                  </w:r>
                  <w:r>
                    <w:rPr>
                      <w:rFonts w:ascii="仿宋_GB2312" w:hAnsi="仿宋_GB2312" w:cs="仿宋_GB2312" w:eastAsia="仿宋_GB2312"/>
                      <w:sz w:val="24"/>
                      <w:color w:val="000000"/>
                    </w:rPr>
                    <w:t>/套）</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无人机技术服务与培训</w:t>
                  </w:r>
                </w:p>
                <w:p>
                  <w:pPr>
                    <w:pStyle w:val="null3"/>
                    <w:jc w:val="center"/>
                  </w:pP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（一）巡查内容</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1、服务内容：按照市环保局要求对重点单位、河流、尾矿库、矿区及石场的废水、大气排放（主要包含PM2.5 、PM10、 CO、 SO2、 NO2、 O3 、TVOC 、恶臭OU）、环境安全进行无人机巡查。拍摄记录实地影像，进行初步甄别，并形成巡查成果报告（包含文字及影像、视频编辑等），巡查完毕后巡查成果报告。</w:t>
                  </w:r>
                </w:p>
                <w:p>
                  <w:pPr>
                    <w:pStyle w:val="null3"/>
                    <w:jc w:val="both"/>
                  </w:pPr>
                  <w:r>
                    <w:rPr>
                      <w:rFonts w:ascii="仿宋_GB2312" w:hAnsi="仿宋_GB2312" w:cs="仿宋_GB2312" w:eastAsia="仿宋_GB2312"/>
                      <w:sz w:val="24"/>
                      <w:color w:val="000000"/>
                    </w:rPr>
                    <w:t>（二）巡查区域</w:t>
                  </w:r>
                </w:p>
                <w:p>
                  <w:pPr>
                    <w:pStyle w:val="null3"/>
                    <w:ind w:firstLine="480"/>
                    <w:jc w:val="both"/>
                  </w:pPr>
                  <w:r>
                    <w:rPr>
                      <w:rFonts w:ascii="仿宋_GB2312" w:hAnsi="仿宋_GB2312" w:cs="仿宋_GB2312" w:eastAsia="仿宋_GB2312"/>
                      <w:sz w:val="24"/>
                      <w:color w:val="000000"/>
                    </w:rPr>
                    <w:t>商洛市全域（六县一区）</w:t>
                  </w:r>
                </w:p>
                <w:p>
                  <w:pPr>
                    <w:pStyle w:val="null3"/>
                    <w:numPr>
                      <w:ilvl w:val="0"/>
                      <w:numId w:val="1"/>
                    </w:numPr>
                    <w:jc w:val="both"/>
                  </w:pPr>
                  <w:r>
                    <w:rPr>
                      <w:rFonts w:ascii="仿宋_GB2312" w:hAnsi="仿宋_GB2312" w:cs="仿宋_GB2312" w:eastAsia="仿宋_GB2312"/>
                      <w:sz w:val="24"/>
                      <w:color w:val="000000"/>
                    </w:rPr>
                    <w:t>服务内容与要求：</w:t>
                  </w:r>
                </w:p>
                <w:tbl>
                  <w:tblPr>
                    <w:tblBorders>
                      <w:top w:val="none" w:color="000000" w:sz="4"/>
                      <w:left w:val="none" w:color="000000" w:sz="4"/>
                      <w:bottom w:val="none" w:color="000000" w:sz="4"/>
                      <w:right w:val="none" w:color="000000" w:sz="4"/>
                      <w:insideH w:val="none"/>
                      <w:insideV w:val="none"/>
                    </w:tblBorders>
                  </w:tblPr>
                  <w:tblGrid>
                    <w:gridCol w:w="192"/>
                    <w:gridCol w:w="392"/>
                    <w:gridCol w:w="2399"/>
                  </w:tblGrid>
                  <w:tr>
                    <w:tc>
                      <w:tcPr>
                        <w:tcW w:type="dxa" w:w="1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服务项目</w:t>
                        </w:r>
                      </w:p>
                    </w:tc>
                    <w:tc>
                      <w:tcPr>
                        <w:tcW w:type="dxa" w:w="23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服务内容</w:t>
                        </w:r>
                      </w:p>
                    </w:tc>
                  </w:tr>
                  <w:tr>
                    <w:tc>
                      <w:tcPr>
                        <w:tcW w:type="dxa" w:w="192"/>
                        <w:vMerge/>
                        <w:tcBorders>
                          <w:top w:val="single" w:color="000000" w:sz="4"/>
                          <w:left w:val="single" w:color="000000" w:sz="4"/>
                          <w:bottom w:val="single" w:color="000000" w:sz="4"/>
                          <w:right w:val="single" w:color="000000" w:sz="4"/>
                        </w:tcBorders>
                      </w:tcPr>
                      <w:p/>
                    </w:tc>
                    <w:tc>
                      <w:tcPr>
                        <w:tcW w:type="dxa" w:w="392"/>
                        <w:vMerge/>
                        <w:tcBorders>
                          <w:top w:val="single" w:color="000000" w:sz="4"/>
                          <w:left w:val="none" w:color="000000" w:sz="4"/>
                          <w:bottom w:val="single" w:color="000000" w:sz="4"/>
                          <w:right w:val="single" w:color="000000" w:sz="4"/>
                        </w:tcBorders>
                      </w:tcPr>
                      <w:p/>
                    </w:tc>
                    <w:tc>
                      <w:tcPr>
                        <w:tcW w:type="dxa" w:w="2399"/>
                        <w:vMerge/>
                        <w:tcBorders>
                          <w:top w:val="single" w:color="000000" w:sz="4"/>
                          <w:left w:val="none" w:color="000000" w:sz="4"/>
                          <w:bottom w:val="singl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大气检测</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次/年，每次连续作业8小时（含往返交通时间）；覆盖商洛市6县1区，每次监测20个重点废气排放点位（如工厂烟囱、矿区排放口等），覆盖六县一区；PM2.5、PM10、CO、SO₂、NO₂、O₃、TVOC、恶臭OU（8项指标全检）；主要监测废气排放区域，形成文字及视频报告。</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水质取样</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15次/年，每次作业6小时（含样品处理）；每次采集10个地表水点位（河流断面、尾矿库下游等），覆盖全市6县1区；每个点位采集500ml或1500ml水样，分装3瓶（检测瓶、备份瓶、留样瓶）。</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尾矿库巡检</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15次/年，每次作业4小时；商洛市全市重点尾矿库，每次抽查3-5座；坝体位移监测、渗滤液PH值检测、溢洪道通畅度、周边地下水取样。</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排污管道巡查</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10次/年，每次作业5小时；覆盖全市六县一区主干排污管道，每次巡查50公里以上；搭载热成像仪检测排污口，精度±0.5℃。</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应急响应服务</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接到指令后</w:t>
                        </w:r>
                        <w:r>
                          <w:rPr>
                            <w:rFonts w:ascii="仿宋_GB2312" w:hAnsi="仿宋_GB2312" w:cs="仿宋_GB2312" w:eastAsia="仿宋_GB2312"/>
                            <w:sz w:val="24"/>
                            <w:color w:val="000000"/>
                          </w:rPr>
                          <w:t>30分钟内抵达现场，取证后商州区30分钟，其余六个县区2小时内提交初步报告；年均可处置10起非法排污事件，取证成功率≥95%</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CAAC无人机驾驶员培训</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50人/年， 培训内容：理论课程40学时（含法规、气象）、实操训练80学时（多旋翼小型视距内）考核标准：通过率≥90%，颁发CAA</w:t>
                        </w:r>
                        <w:r>
                          <w:rPr>
                            <w:rFonts w:ascii="仿宋_GB2312" w:hAnsi="仿宋_GB2312" w:cs="仿宋_GB2312" w:eastAsia="仿宋_GB2312"/>
                            <w:sz w:val="24"/>
                            <w:color w:val="000000"/>
                          </w:rPr>
                          <w:t>C</w:t>
                        </w:r>
                        <w:r>
                          <w:rPr>
                            <w:rFonts w:ascii="仿宋_GB2312" w:hAnsi="仿宋_GB2312" w:cs="仿宋_GB2312" w:eastAsia="仿宋_GB2312"/>
                            <w:sz w:val="24"/>
                            <w:color w:val="000000"/>
                          </w:rPr>
                          <w:t>小型多旋翼视距内驾驶员执照</w:t>
                        </w:r>
                      </w:p>
                    </w:tc>
                  </w:tr>
                </w:tbl>
                <w:p>
                  <w:pPr>
                    <w:pStyle w:val="null3"/>
                    <w:jc w:val="both"/>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满足招标文件和采购人要求。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满足招标文件和采购人要求。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满足招标文件和采购人要求。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由采购人负责组织验收；验收合格须交接项目实施的全部资料，并填写政府采购项目验收报告单。验收须以合同、招标文件及投标文件、澄清及国家相应的标准、规范等为依据。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服务期满且完成培训，甲方收到全部报告及证书后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的相关条款和本合同约定，中标供应商未全面履行合同义务或者发生违约的，采购单位会同采购代理机构有权终止合同，依法向中标供应商进行经济索赔，并报请政府采购监督管理机关进行相应的行政处罚。采购单位违约的，应当赔偿给中标供应商造成的经济损失。 合同争议的解决：合同执行中发生争议的，当事人双方应协商解决，协商达不成一致时，可向采购人住所地有管辖权的人民法院提起诉讼。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1.供应商缴纳保证金时请备注：项目编号。 2.为保证项目存档使用,供应商须递交纸质版响应文件，纸质版响应文件递交要求：正本壹份、副本贰份、电子版文件贰份（U盘）。 3.密封包装方式：投标文件正本一个封袋、副本一个封袋、电子版文件放置正本封袋内，电子版文件须粘贴注明投标人名称的标签。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的财务审计报告（成立时间至投标截止时间不足一年的可提供成立后任意时段的资产负债表），或其开标前三个月内基本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具有独立承担民事责任能力的法人、其他组织或自然人，提供合法有效的营业执照（事业单位提供事业单位法人证书，自然人提供身份证）；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法定代表人授权托书</w:t>
            </w:r>
          </w:p>
        </w:tc>
        <w:tc>
          <w:tcPr>
            <w:tcW w:type="dxa" w:w="3322"/>
          </w:tcPr>
          <w:p>
            <w:pPr>
              <w:pStyle w:val="null3"/>
            </w:pPr>
            <w:r>
              <w:rPr>
                <w:rFonts w:ascii="仿宋_GB2312" w:hAnsi="仿宋_GB2312" w:cs="仿宋_GB2312" w:eastAsia="仿宋_GB2312"/>
              </w:rPr>
              <w:t>法定代表人授权书及被授权人身份证明。（法定代表人直接参与投标只须提供其身份证明）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提供2024年的财务审计报告（成立时间至投标截止时间不足一年的可提供成立后任意时段的资产负债表），或其开标前三个月内基本开户银行出具的资信证明及基本存款账户信息；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提供投标截止日前半年内已缴纳任意1个月的纳税证明或完税证明（任意税种），依法免税的单位应提供相关的证明材料；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提供投标截止日前半年内已缴存的任意1个月的社会保障资金缴存单据或社保机构开具的社会保险参保缴费情况证明；依法不需要缴纳社会保障资金的单位应提供相关证明材料；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投标人未被列入“信用中国”网站记录的“失信被执行人”“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书面说明</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投标有效期未满足招标文件要求的；（3）报价超过招标文件中规定的预算金额或者最高限价的；（4）对招标文件商务、技术要求出现重大负偏离的；(5)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资格证明文件.docx 商务技术部分.docx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全域巡查覆盖方案</w:t>
            </w:r>
          </w:p>
        </w:tc>
        <w:tc>
          <w:tcPr>
            <w:tcW w:type="dxa" w:w="2492"/>
          </w:tcPr>
          <w:p>
            <w:pPr>
              <w:pStyle w:val="null3"/>
            </w:pPr>
            <w:r>
              <w:rPr>
                <w:rFonts w:ascii="仿宋_GB2312" w:hAnsi="仿宋_GB2312" w:cs="仿宋_GB2312" w:eastAsia="仿宋_GB2312"/>
              </w:rPr>
              <w:t>1.区域分解策略（5 分）：按商洛市六县一区划分巡查网格，制定分区域季度巡查计划（如商州区每季度巡查≥4 次）得 3-5分，仅笼统提及全域覆盖得 1-2 分。 2.特殊地形应对（5 分）：针对秦岭山区、丹江河流域等复杂地形，承诺使用抗风≥6 级无人机、配备 RTK 厘米级定位得 3-5 分，未细化得 1-2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跨项服务调配方案</w:t>
            </w:r>
          </w:p>
        </w:tc>
        <w:tc>
          <w:tcPr>
            <w:tcW w:type="dxa" w:w="2492"/>
          </w:tcPr>
          <w:p>
            <w:pPr>
              <w:pStyle w:val="null3"/>
            </w:pPr>
            <w:r>
              <w:rPr>
                <w:rFonts w:ascii="仿宋_GB2312" w:hAnsi="仿宋_GB2312" w:cs="仿宋_GB2312" w:eastAsia="仿宋_GB2312"/>
              </w:rPr>
              <w:t>1.次数调配机制（5 分）：明确大气 / 水质 / 尾矿库等巡查次数跨项调用规则（如大气检测剩余次数可 1:1 转为水质取样次数）得 3-5分，仅提及原则得 1-2 分。 2.应急响应优先级（5 分）：承诺突发事件响应时自动冻结常规巡查次数，优先保障应急取证得 3-5分，无明确机制得 1-2分。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无人机设备</w:t>
            </w:r>
          </w:p>
        </w:tc>
        <w:tc>
          <w:tcPr>
            <w:tcW w:type="dxa" w:w="2492"/>
          </w:tcPr>
          <w:p>
            <w:pPr>
              <w:pStyle w:val="null3"/>
            </w:pPr>
            <w:r>
              <w:rPr>
                <w:rFonts w:ascii="仿宋_GB2312" w:hAnsi="仿宋_GB2312" w:cs="仿宋_GB2312" w:eastAsia="仿宋_GB2312"/>
              </w:rPr>
              <w:t>1.大气检测无人机（8 分）：滞空≥45 分钟、覆盖 8 项气体指标（PM2.5/TVOC 等）得 8 分，每缺 1 项扣 1 分。 2.水质无人机（7分）：滞空≥1 小时、支持分层取水得 7 分，功能不达标扣 3-5 分。 3.吊舱（5 分）：具备 56 倍变焦 + 红外热成像得 5 分，像素≥4800万，不足扣 2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空域协调能力</w:t>
            </w:r>
          </w:p>
        </w:tc>
        <w:tc>
          <w:tcPr>
            <w:tcW w:type="dxa" w:w="2492"/>
          </w:tcPr>
          <w:p>
            <w:pPr>
              <w:pStyle w:val="null3"/>
            </w:pPr>
            <w:r>
              <w:rPr>
                <w:rFonts w:ascii="仿宋_GB2312" w:hAnsi="仿宋_GB2312" w:cs="仿宋_GB2312" w:eastAsia="仿宋_GB2312"/>
              </w:rPr>
              <w:t>1.全域空域资质（6 分）：提供商洛市全年空域使用批复文件得 5-6 分，仅部分区域资质得 2-3 分，无资质不得分。 2.应急飞行审批效率（4 分）：承诺突发情况下 30 分钟内完成临时空域报备得 3-4 分，时效过长得 1-2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数据实时回传与存储</w:t>
            </w:r>
          </w:p>
        </w:tc>
        <w:tc>
          <w:tcPr>
            <w:tcW w:type="dxa" w:w="2492"/>
          </w:tcPr>
          <w:p>
            <w:pPr>
              <w:pStyle w:val="null3"/>
            </w:pPr>
            <w:r>
              <w:rPr>
                <w:rFonts w:ascii="仿宋_GB2312" w:hAnsi="仿宋_GB2312" w:cs="仿宋_GB2312" w:eastAsia="仿宋_GB2312"/>
              </w:rPr>
              <w:t>支持自动生成报告、加密存储≥5 年得 5分，否则不得分。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技术团队架构</w:t>
            </w:r>
          </w:p>
        </w:tc>
        <w:tc>
          <w:tcPr>
            <w:tcW w:type="dxa" w:w="2492"/>
          </w:tcPr>
          <w:p>
            <w:pPr>
              <w:pStyle w:val="null3"/>
            </w:pPr>
            <w:r>
              <w:rPr>
                <w:rFonts w:ascii="仿宋_GB2312" w:hAnsi="仿宋_GB2312" w:cs="仿宋_GB2312" w:eastAsia="仿宋_GB2312"/>
              </w:rPr>
              <w:t>1.核心人员资质（6 分）：项目负责人具备 CAAC 教官 + 环境工程高级工程师双资质得 3 分，无人机驾驶员均持 CAAC 证书（含超视距驾驶员≥2 人）得 3 分。 2.本地化服务能力（4 分）：在商洛市设立固定运维中心（提供租赁合同）、配备 4 名以上常驻技术人员得 3-4 分，远程服务得 1-2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1.课程针对性（3 分）：培训内容包含商洛市复杂空域操作、环保法规实务得 2-3 分，通用课程得 1 分。 2.取证保障（2 分）：承诺 50 人培训通过率≥90%、提供免费补考直至取证得 1-2 分，无明确承诺不得分。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供应商2022年1月至今类似项目业绩，每提供1份得2.5分，最高得5分。 业绩证明以合同签订时间为准，须在投标文件中附完整合同的扫描件或复印件加盖单位公章。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成果承诺（5分）：承诺年综合报告≥30 份、巡查覆盖率提升≥80%得 3-5分，指标不明确得 1-2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2.满足招标文件要求且投标价格最低的投标报价为评标基准价，其价格分为满分。 3.投标报价得分=(评标基准价／投标报价)×20。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详见附件：二标段拟签订采购合同文本.docx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