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版本号：HHMS-2025-1920251215003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新能源汽车设备采购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HHMS-2025-19</w:t>
      </w:r>
      <w:r>
        <w:br/>
      </w:r>
      <w:r>
        <w:br/>
      </w:r>
      <w:r>
        <w:br/>
      </w:r>
    </w:p>
    <w:p>
      <w:pPr>
        <w:pStyle w:val="null3"/>
        <w:jc w:val="center"/>
        <w:outlineLvl w:val="2"/>
      </w:pPr>
      <w:r>
        <w:rPr>
          <w:rFonts w:ascii="仿宋_GB2312" w:hAnsi="仿宋_GB2312" w:cs="仿宋_GB2312" w:eastAsia="仿宋_GB2312"/>
          <w:sz w:val="28"/>
          <w:b/>
        </w:rPr>
        <w:t>商洛职业技术学院</w:t>
      </w:r>
    </w:p>
    <w:p>
      <w:pPr>
        <w:pStyle w:val="null3"/>
        <w:jc w:val="center"/>
        <w:outlineLvl w:val="2"/>
      </w:pPr>
      <w:r>
        <w:rPr>
          <w:rFonts w:ascii="仿宋_GB2312" w:hAnsi="仿宋_GB2312" w:cs="仿宋_GB2312" w:eastAsia="仿宋_GB2312"/>
          <w:sz w:val="28"/>
          <w:b/>
        </w:rPr>
        <w:t>陕西环浩妙思建设工程有限公司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陕西环浩妙思建设工程有限公司</w:t>
      </w:r>
      <w:r>
        <w:rPr>
          <w:rFonts w:ascii="仿宋_GB2312" w:hAnsi="仿宋_GB2312" w:cs="仿宋_GB2312" w:eastAsia="仿宋_GB2312"/>
        </w:rPr>
        <w:t>（以下简称“代理机构”）受</w:t>
      </w:r>
      <w:r>
        <w:rPr>
          <w:rFonts w:ascii="仿宋_GB2312" w:hAnsi="仿宋_GB2312" w:cs="仿宋_GB2312" w:eastAsia="仿宋_GB2312"/>
        </w:rPr>
        <w:t>商洛职业技术学院</w:t>
      </w:r>
      <w:r>
        <w:rPr>
          <w:rFonts w:ascii="仿宋_GB2312" w:hAnsi="仿宋_GB2312" w:cs="仿宋_GB2312" w:eastAsia="仿宋_GB2312"/>
        </w:rPr>
        <w:t>委托，拟对</w:t>
      </w:r>
      <w:r>
        <w:rPr>
          <w:rFonts w:ascii="仿宋_GB2312" w:hAnsi="仿宋_GB2312" w:cs="仿宋_GB2312" w:eastAsia="仿宋_GB2312"/>
        </w:rPr>
        <w:t>新能源汽车设备采购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HHMS-2025-19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新能源汽车设备采购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商洛职业技术学院新能源汽车设备采购，采购内容由DM-i混动实训车，整车故障设置与诊断平台，电驱动总成装调与检修工作平台组成。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采购包1（新能源汽车设备采购）：属于专门面向中小企业采购。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1、营业执照：具有独立承担民事责任能力的法人、其他组织或自然人，提供年检有效的统一社会信用代码的营业执照或其他合法组织登记证书，需具备教学仪器设备/汽车相关经营范围;</w:t>
      </w:r>
    </w:p>
    <w:p>
      <w:pPr>
        <w:pStyle w:val="null3"/>
      </w:pPr>
      <w:r>
        <w:rPr>
          <w:rFonts w:ascii="仿宋_GB2312" w:hAnsi="仿宋_GB2312" w:cs="仿宋_GB2312" w:eastAsia="仿宋_GB2312"/>
        </w:rPr>
        <w:t>2、法定代表人身份证明或法人授权委托书：法定代表人参加投标时，提供法定代表人身份证明及身份证复印件；授权代表参加投标时，提供法定代表人授权委托书、法定代表人和被授权人身份证复印件；</w:t>
      </w:r>
    </w:p>
    <w:p>
      <w:pPr>
        <w:pStyle w:val="null3"/>
      </w:pPr>
      <w:r>
        <w:rPr>
          <w:rFonts w:ascii="仿宋_GB2312" w:hAnsi="仿宋_GB2312" w:cs="仿宋_GB2312" w:eastAsia="仿宋_GB2312"/>
        </w:rPr>
        <w:t>3、财务状况：提供2022-2024年任一年度审计报告(至少应包含资产负债表、利润表、现金流量表、所有者权益变动表及报表附注)或开标前六个月内银行出具的资信证明。(成立时间至提交响应文件截止时间不足6个月的提供公司财务会计制度并加盖供应商公章即可)；</w:t>
      </w:r>
    </w:p>
    <w:p>
      <w:pPr>
        <w:pStyle w:val="null3"/>
      </w:pPr>
      <w:r>
        <w:rPr>
          <w:rFonts w:ascii="仿宋_GB2312" w:hAnsi="仿宋_GB2312" w:cs="仿宋_GB2312" w:eastAsia="仿宋_GB2312"/>
        </w:rPr>
        <w:t>4、完成的类似项目：提供2022-2025年与本次招标内容类似的过往业绩3个（附供货合同，时间以合同签订时间为准）；</w:t>
      </w:r>
    </w:p>
    <w:p>
      <w:pPr>
        <w:pStyle w:val="null3"/>
      </w:pPr>
      <w:r>
        <w:rPr>
          <w:rFonts w:ascii="仿宋_GB2312" w:hAnsi="仿宋_GB2312" w:cs="仿宋_GB2312" w:eastAsia="仿宋_GB2312"/>
        </w:rPr>
        <w:t>5、社会保障资金缴纳证明：提供近半年内任意3个月的社会保障资金缴存单据或社保机构开具的社会保险参保缴费情况证明，单据或证明上应有社保机构或代收机构的印章。依法不需要缴纳社会保障资金的供应商应提供相关文件证明；</w:t>
      </w:r>
    </w:p>
    <w:p>
      <w:pPr>
        <w:pStyle w:val="null3"/>
      </w:pPr>
      <w:r>
        <w:rPr>
          <w:rFonts w:ascii="仿宋_GB2312" w:hAnsi="仿宋_GB2312" w:cs="仿宋_GB2312" w:eastAsia="仿宋_GB2312"/>
        </w:rPr>
        <w:t>6、完税证明：提供近半年以来任意3个月的纳税证明或完税证明(任意税种)，纳税证明或完税证明上应有代收机构或税务机关的公章或业务专用章(依法免税的供应商应提供相关文件证明)；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7、信用状况：供应商未被列入信用中国网站(www.creditchina.gov.cn)“失信被执行人、重大税收违法失信主体”；未被列入中国政府采购网(www.ccgp.gov.cn)“政府采购严重违法失信行为信息记录”中的禁止参加政府采购活动期间；</w:t>
      </w:r>
    </w:p>
    <w:p>
      <w:pPr>
        <w:pStyle w:val="null3"/>
      </w:pPr>
      <w:r>
        <w:rPr>
          <w:rFonts w:ascii="仿宋_GB2312" w:hAnsi="仿宋_GB2312" w:cs="仿宋_GB2312" w:eastAsia="仿宋_GB2312"/>
        </w:rPr>
        <w:t>8、经营活动重大违法记录：参加政府采购活动前三年内，在经营活动中没有重大违法记录的书面声明；</w:t>
      </w:r>
    </w:p>
    <w:p>
      <w:pPr>
        <w:pStyle w:val="null3"/>
      </w:pPr>
      <w:r>
        <w:rPr>
          <w:rFonts w:ascii="仿宋_GB2312" w:hAnsi="仿宋_GB2312" w:cs="仿宋_GB2312" w:eastAsia="仿宋_GB2312"/>
        </w:rPr>
        <w:t>9、供应商能力：具有履行合同所必需的设备和专业技术能力的书面声明；</w:t>
      </w:r>
    </w:p>
    <w:p>
      <w:pPr>
        <w:pStyle w:val="null3"/>
      </w:pPr>
      <w:r>
        <w:rPr>
          <w:rFonts w:ascii="仿宋_GB2312" w:hAnsi="仿宋_GB2312" w:cs="仿宋_GB2312" w:eastAsia="仿宋_GB2312"/>
        </w:rPr>
        <w:t>10、是否接受联合体谈判：本项目不接受联合体谈判，提供非联合体谈判声明函；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商州区商鞅大道西段丹南新区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15829137865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陕西环浩妙思建设工程有限公司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陕西省商洛市商州区通江东路南段16号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0914-2326965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商洛职业技术学院纪委</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黄平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13891417800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开户名称：陕西环浩妙思建设工程有限公司</w:t>
            </w:r>
          </w:p>
          <w:p>
            <w:pPr>
              <w:pStyle w:val="null3"/>
            </w:pPr>
            <w:r>
              <w:rPr>
                <w:rFonts w:ascii="仿宋_GB2312" w:hAnsi="仿宋_GB2312" w:cs="仿宋_GB2312" w:eastAsia="仿宋_GB2312"/>
              </w:rPr>
              <w:t>开户银行：中国农业银行股份有限公司商洛城西支行</w:t>
            </w:r>
          </w:p>
          <w:p>
            <w:pPr>
              <w:pStyle w:val="null3"/>
            </w:pPr>
            <w:r>
              <w:rPr>
                <w:rFonts w:ascii="仿宋_GB2312" w:hAnsi="仿宋_GB2312" w:cs="仿宋_GB2312" w:eastAsia="仿宋_GB2312"/>
              </w:rPr>
              <w:t>银行账号：2689 0901 0400 0287 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代理服务费收费标准：招标代理收费依据［2002］1980号文《招标代理服务费管理暂行办法》和国家发展改革委（发改价格[2011]534号）有关规定，货物类招标100万以下按照中标价格1.5%收取。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商洛职业技术学院</w:t>
      </w:r>
      <w:r>
        <w:rPr>
          <w:rFonts w:ascii="仿宋_GB2312" w:hAnsi="仿宋_GB2312" w:cs="仿宋_GB2312" w:eastAsia="仿宋_GB2312"/>
        </w:rPr>
        <w:t>和</w:t>
      </w:r>
      <w:r>
        <w:rPr>
          <w:rFonts w:ascii="仿宋_GB2312" w:hAnsi="仿宋_GB2312" w:cs="仿宋_GB2312" w:eastAsia="仿宋_GB2312"/>
        </w:rPr>
        <w:t>陕西环浩妙思建设工程有限公司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商洛职业技术学院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陕西环浩妙思建设工程有限公司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商洛职业技术学院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陕西环浩妙思建设工程有限公司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陕西环浩妙思建设工程有限公司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陕西环浩妙思建设工程有限公司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陕西环浩妙思建设工程有限公司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联系人：屈工</w:t>
      </w:r>
    </w:p>
    <w:p>
      <w:pPr>
        <w:pStyle w:val="null3"/>
      </w:pPr>
      <w:r>
        <w:rPr>
          <w:rFonts w:ascii="仿宋_GB2312" w:hAnsi="仿宋_GB2312" w:cs="仿宋_GB2312" w:eastAsia="仿宋_GB2312"/>
        </w:rPr>
        <w:t>联系电话：0914-2326965</w:t>
      </w:r>
    </w:p>
    <w:p>
      <w:pPr>
        <w:pStyle w:val="null3"/>
      </w:pPr>
      <w:r>
        <w:rPr>
          <w:rFonts w:ascii="仿宋_GB2312" w:hAnsi="仿宋_GB2312" w:cs="仿宋_GB2312" w:eastAsia="仿宋_GB2312"/>
        </w:rPr>
        <w:t>地址：陕西省商洛市商州区通江东路南段16号</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商洛职业技术学院新能源汽车设备采购，采购内容有混动实训车，整车故障设置与诊断平台，电驱动总成装调与检修工作平台组成。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398,800.00</w:t>
      </w:r>
    </w:p>
    <w:p>
      <w:pPr>
        <w:pStyle w:val="null3"/>
      </w:pPr>
      <w:r>
        <w:rPr>
          <w:rFonts w:ascii="仿宋_GB2312" w:hAnsi="仿宋_GB2312" w:cs="仿宋_GB2312" w:eastAsia="仿宋_GB2312"/>
        </w:rPr>
        <w:t>采购包最高限价（元）: 398,800.00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新能源汽车设备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标的名称：新能源汽车设备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混动实训车基础参数：能源类型：插电式混合动力，轴距≥2700mm，车身尺寸≥4750×1820×1480mm（4 门 5 座车）；2. 动力≥1.5L 自然吸气 L4 发动机（最大功率≥72kW）+ 永磁同步电机（总功率≥110kW）；3. 电池：≥7.5kWh 磷酸铁锂电池，CLTC 纯电续航≥50km（WLTC≥40km）；4. 性能：0-100km/h 加速≤8秒；采用 2024 款全新车辆及以上量产车型实物改制。</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整车故障设置与诊断平台配置要求：连接方式：无损外接式连接整车各电控单元，线束两端为工业级接口；2. 检测面板：≥3.5mm 厚耐腐蚀材质，打印彩色端子图，配检测端子；3. 故障设置：隐藏式机械故障（≥270 个）+ 智能故障（≥30 路），支持短路、虚接等模式；4. 结构：带操作平台（含抽屉）、自锁脚轮，尺寸≥1550×600×1650mm；5. 配套：≥10 根专用对接线束，整车控制电路图教板（≥900×600mm）。</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整车故障设置与诊断平台物联网智能信息化管理平台教师端：支持题库编辑、故障下发（≥25 路断路等模式）、自动评分、成绩统计打印；2. 学生端：支持人脸识别 / 账号登录，按试题完成考核；3. 数据显示：以波形、指针、数字形式实时显示传感器信号</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电驱动总成装调与检修工作平台基础参数：台体尺寸≥1600×800×1550mm，框架钢结构焊接（防静电喷涂）；2. 核心部件：永磁同步电机（额定功率≥75KW，驱动电压 80V DC）、固定齿比减速器、电机控制器（额定功率≥10KW）；3. 配套设备：电脑主机（i5 十代 + 16G 内存 + 240G 硬盘）、≥35 英寸显示器、故障盒（≥75 路故障线路）；4.含专用拆装工具、电驱动反电动势测试装置等；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电驱动总成装调与检修工作平台功能要求：六大功能区：电机装调区、故障检测区、零件收纳区、动态测试区、减速器装调区、工具收纳区；2. 故障检测：支持驱动系统电源、传感器等≥18 路设故，≥35 组数据测量；3. 动态测试：内置维修手册、虚拟仿真软件，支持旋变调零、参数修改</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电驱动总成装调与检修工作平台实训项目：覆盖电机 / 减速器拆装、磁通量 / 绝缘电阻测量、冷却系统气密性检测、反电动势测量、故障检修（电源、传感器、总线等）</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混动实训车配置要求：安全：ABS、EBD、ESC 等主动安全配置；安全气囊；倒车影像；2. 智能：支持蓝牙 / 导航的车载系统，远程控制功能；3. 舒适：仿皮座椅（主驾多向调节）、自动空调、LED 日间行车灯；</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电驱动总成装调与检修工作平台智能教学云平台系统多端登录：微信小程序、手机网页、PC、APP；2. 资源库：涵盖新能源汽车、文档、视频、课件、试卷；3. 管理功能：班级管理、课程创建、在线考试、学习数据统计；4. 提供知识产权证明及版权保护中心查询截图；5. 需提供系统功能、课程资源目录截图佐证；</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1. 教师培训服务</w:t>
            </w:r>
            <w:r>
              <w:br/>
            </w:r>
            <w:r>
              <w:rPr>
                <w:rFonts w:ascii="仿宋_GB2312" w:hAnsi="仿宋_GB2312" w:cs="仿宋_GB2312" w:eastAsia="仿宋_GB2312"/>
              </w:rPr>
              <w:t xml:space="preserve"> 1.1  供应商需提供设备操作、教学应用、维护保养一体化培训，覆盖本次采购的全品类教学设备，确保采购人指定的3-5名核心教师参与培训。</w:t>
            </w:r>
            <w:r>
              <w:br/>
            </w:r>
            <w:r>
              <w:rPr>
                <w:rFonts w:ascii="仿宋_GB2312" w:hAnsi="仿宋_GB2312" w:cs="仿宋_GB2312" w:eastAsia="仿宋_GB2312"/>
              </w:rPr>
              <w:t xml:space="preserve"> 1.2  培训采用“现场实操+线上复训”模式，配套提供电子版教学手册、实验指导书及多媒体授课资源，培训课时不少于40课时。</w:t>
            </w:r>
          </w:p>
          <w:p>
            <w:pPr>
              <w:pStyle w:val="null3"/>
            </w:pPr>
            <w:r>
              <w:rPr>
                <w:rFonts w:ascii="仿宋_GB2312" w:hAnsi="仿宋_GB2312" w:cs="仿宋_GB2312" w:eastAsia="仿宋_GB2312"/>
              </w:rPr>
              <w:t>2. 赛事技术支持服务</w:t>
            </w:r>
            <w:r>
              <w:br/>
            </w:r>
            <w:r>
              <w:rPr>
                <w:rFonts w:ascii="仿宋_GB2312" w:hAnsi="仿宋_GB2312" w:cs="仿宋_GB2312" w:eastAsia="仿宋_GB2312"/>
              </w:rPr>
              <w:t xml:space="preserve"> 2.1  针对采购人组织或参与的职业技能竞赛、教学能力比赛，提供赛前设备调试、赛中技术保障、赛后故障复盘的全流程支持。</w:t>
            </w:r>
          </w:p>
          <w:p>
            <w:pPr>
              <w:pStyle w:val="null3"/>
            </w:pPr>
            <w:r>
              <w:rPr>
                <w:rFonts w:ascii="仿宋_GB2312" w:hAnsi="仿宋_GB2312" w:cs="仿宋_GB2312" w:eastAsia="仿宋_GB2312"/>
              </w:rPr>
              <w:t>3. 课题与研发技术支持服务</w:t>
            </w:r>
            <w:r>
              <w:br/>
            </w:r>
            <w:r>
              <w:rPr>
                <w:rFonts w:ascii="仿宋_GB2312" w:hAnsi="仿宋_GB2312" w:cs="仿宋_GB2312" w:eastAsia="仿宋_GB2312"/>
              </w:rPr>
              <w:t xml:space="preserve"> 3.1  为采购人的科研课题、教学改革项目提供技术支撑，包括实验方案设计、数据采集分析指导等服务。</w:t>
            </w:r>
            <w:r>
              <w:br/>
            </w:r>
            <w:r>
              <w:rPr>
                <w:rFonts w:ascii="仿宋_GB2312" w:hAnsi="仿宋_GB2312" w:cs="仿宋_GB2312" w:eastAsia="仿宋_GB2312"/>
              </w:rPr>
              <w:t xml:space="preserve"> 3.2  开放设备底层技术接口及配套研发工具包，支持基于设备的算法开发与原型验证。</w:t>
            </w:r>
          </w:p>
          <w:p>
            <w:pPr>
              <w:pStyle w:val="null3"/>
            </w:pPr>
            <w:r>
              <w:rPr>
                <w:rFonts w:ascii="仿宋_GB2312" w:hAnsi="仿宋_GB2312" w:cs="仿宋_GB2312" w:eastAsia="仿宋_GB2312"/>
              </w:rPr>
              <w:t>4. 配套服务</w:t>
            </w:r>
            <w:r>
              <w:br/>
            </w:r>
            <w:r>
              <w:rPr>
                <w:rFonts w:ascii="仿宋_GB2312" w:hAnsi="仿宋_GB2312" w:cs="仿宋_GB2312" w:eastAsia="仿宋_GB2312"/>
              </w:rPr>
              <w:t xml:space="preserve"> 4.1  提供软件系统免费升级服务。</w:t>
            </w:r>
            <w:r>
              <w:br/>
            </w:r>
            <w:r>
              <w:rPr>
                <w:rFonts w:ascii="仿宋_GB2312" w:hAnsi="仿宋_GB2312" w:cs="仿宋_GB2312" w:eastAsia="仿宋_GB2312"/>
              </w:rPr>
              <w:t xml:space="preserve"> 4.2 提供设备场地规划、安装调试一体化服务，配套提供教学资源库（含实训视频、课件模板、故障案例库）。</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商洛职业技术学院汽车实训室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设备交付验收合格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自交付之日起服务满一年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满足甲方需求，单位组织验收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所有设备提供免费保修两年，提供终身技术支持。</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先通过协商，协商无法解决则通过诉讼途径解决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具有独立承担民事责任能力的法人、其他组织或自然人，提供年检有效的统一社会信用代码的营业执照或其他合法组织登记证书，需具备教学仪器设备/汽车相关经营范围;</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法定代表人参加投标时，提供法定代表人身份证明及身份证复印件；授权代表参加投标时，提供法定代表人授权委托书、法定代表人和被授权人身份证复印件；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2022-2024年任一年度审计报告(至少应包含资产负债表、利润表、现金流量表、所有者权益变动表及报表附注)或开标前六个月内银行出具的资信证明。(成立时间至提交响应文件截止时间不足6个月的提供公司财务会计制度并加盖供应商公章即可)；</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完成的类似项目</w:t>
            </w:r>
          </w:p>
        </w:tc>
        <w:tc>
          <w:tcPr>
            <w:tcW w:type="dxa" w:w="3322"/>
          </w:tcPr>
          <w:p>
            <w:pPr>
              <w:pStyle w:val="null3"/>
            </w:pPr>
            <w:r>
              <w:rPr>
                <w:rFonts w:ascii="仿宋_GB2312" w:hAnsi="仿宋_GB2312" w:cs="仿宋_GB2312" w:eastAsia="仿宋_GB2312"/>
              </w:rPr>
              <w:t>提供2022-2025年与本次招标内容类似的过往业绩3个（附供货合同，时间以合同签订时间为准）；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提供近半年内任意3个月的社会保障资金缴存单据或社保机构开具的社会保险参保缴费情况证明，单据或证明上应有社保机构或代收机构的印章。依法不需要缴纳社会保障资金的供应商应提供相关文件证明；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提供近半年以来任意3个月的纳税证明或完税证明(任意税种)，纳税证明或完税证明上应有代收机构或税务机关的公章或业务专用章(依法免税的供应商应提供相关文件证明)；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供应商未被列入信用中国网站(www.creditchina.gov.cn)“失信被执行人、重大税收违法失信主体”；未被列入中国政府采购网(www.ccgp.gov.cn)“政府采购严重违法失信行为信息记录”中的禁止参加政府采购活动期间；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经营活动重大违法记录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是否接受联合体谈判</w:t>
            </w:r>
          </w:p>
        </w:tc>
        <w:tc>
          <w:tcPr>
            <w:tcW w:type="dxa" w:w="3322"/>
          </w:tcPr>
          <w:p>
            <w:pPr>
              <w:pStyle w:val="null3"/>
            </w:pPr>
            <w:r>
              <w:rPr>
                <w:rFonts w:ascii="仿宋_GB2312" w:hAnsi="仿宋_GB2312" w:cs="仿宋_GB2312" w:eastAsia="仿宋_GB2312"/>
              </w:rPr>
              <w:t>本项目不接受联合体谈判，提供非联合体谈判声明函；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1、谈判响应文件的签署盖章：谈判响应文件上法定代表人/负责人或被授权人的签字或盖章齐全并加盖公章。 2、报价唯一，只能有一个有效报价，不得提交选择性报价，按要求提交二次，且每轮报价不超过最高限价或谈判小组认为低于成本价的报价。</w:t>
            </w:r>
          </w:p>
        </w:tc>
        <w:tc>
          <w:tcPr>
            <w:tcW w:type="dxa" w:w="1661"/>
          </w:tcPr>
          <w:p>
            <w:pPr>
              <w:pStyle w:val="null3"/>
            </w:pPr>
            <w:r>
              <w:rPr>
                <w:rFonts w:ascii="仿宋_GB2312" w:hAnsi="仿宋_GB2312" w:cs="仿宋_GB2312" w:eastAsia="仿宋_GB2312"/>
              </w:rPr>
              <w:t>响应文件封面 产品技术参数表 中小企业声明函 商务应答表 供应商应提交的相关资格证明材料.pdf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谈判响应文件内容，谈判响应文件内容符合谈判文件要求。</w:t>
            </w:r>
          </w:p>
        </w:tc>
        <w:tc>
          <w:tcPr>
            <w:tcW w:type="dxa" w:w="1661"/>
          </w:tcPr>
          <w:p>
            <w:pPr>
              <w:pStyle w:val="null3"/>
            </w:pPr>
            <w:r>
              <w:rPr>
                <w:rFonts w:ascii="仿宋_GB2312" w:hAnsi="仿宋_GB2312" w:cs="仿宋_GB2312" w:eastAsia="仿宋_GB2312"/>
              </w:rPr>
              <w:t>响应文件封面 产品技术参数表 中小企业声明函 商务应答表 供应商应提交的相关资格证明材料.pdf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1、对谈判文件响应程度：全部响应。 2、语言和计量单位：应满足竞争性谈判文件的要求。 3、交货期：应满足谈判文件中要求的交货期。 4、谈判有效期：应满足谈判文件中的规定。</w:t>
            </w:r>
          </w:p>
        </w:tc>
        <w:tc>
          <w:tcPr>
            <w:tcW w:type="dxa" w:w="1661"/>
          </w:tcPr>
          <w:p>
            <w:pPr>
              <w:pStyle w:val="null3"/>
            </w:pPr>
            <w:r>
              <w:rPr>
                <w:rFonts w:ascii="仿宋_GB2312" w:hAnsi="仿宋_GB2312" w:cs="仿宋_GB2312" w:eastAsia="仿宋_GB2312"/>
              </w:rPr>
              <w:t>响应文件封面 产品技术参数表 中小企业声明函 商务应答表 供应商应提交的相关资格证明材料.pdf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