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3793F">
      <w:pPr>
        <w:pStyle w:val="2"/>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zh-CN" w:eastAsia="zh-CN"/>
        </w:rPr>
        <w:t>合同协议书</w:t>
      </w:r>
    </w:p>
    <w:p w14:paraId="2D77ABF7">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（合同模板仅供参考，具体以实际签订合同为准）</w:t>
      </w:r>
    </w:p>
    <w:p w14:paraId="7FBFD396">
      <w:pPr>
        <w:keepNext w:val="0"/>
        <w:keepLines w:val="0"/>
        <w:pageBreakBefore w:val="0"/>
        <w:widowControl w:val="0"/>
        <w:tabs>
          <w:tab w:val="left" w:pos="735"/>
        </w:tabs>
        <w:kinsoku/>
        <w:wordWrap/>
        <w:overflowPunct/>
        <w:topLinePunct w:val="0"/>
        <w:autoSpaceDE w:val="0"/>
        <w:autoSpaceDN w:val="0"/>
        <w:bidi w:val="0"/>
        <w:adjustRightInd w:val="0"/>
        <w:snapToGrid w:val="0"/>
        <w:spacing w:line="440" w:lineRule="exact"/>
        <w:ind w:right="0" w:firstLine="480" w:firstLineChars="200"/>
        <w:textAlignment w:val="auto"/>
        <w:outlineLvl w:val="0"/>
        <w:rPr>
          <w:rFonts w:ascii="宋体" w:hAnsi="宋体" w:cs="宋体"/>
          <w:color w:val="auto"/>
          <w:sz w:val="24"/>
          <w:szCs w:val="24"/>
        </w:rPr>
      </w:pPr>
      <w:r>
        <w:rPr>
          <w:rFonts w:hint="eastAsia" w:ascii="宋体" w:hAnsi="宋体" w:cs="宋体"/>
          <w:color w:val="auto"/>
          <w:sz w:val="24"/>
          <w:szCs w:val="24"/>
        </w:rPr>
        <w:t xml:space="preserve">根据《中华人民共和国政府采购法》及实施条例、《中华人民共和国民法典》和甲方采购项目 </w:t>
      </w:r>
      <w:r>
        <w:rPr>
          <w:rFonts w:hint="eastAsia" w:ascii="宋体" w:hAnsi="宋体" w:cs="宋体"/>
          <w:color w:val="auto"/>
          <w:sz w:val="24"/>
          <w:szCs w:val="24"/>
          <w:u w:val="single"/>
        </w:rPr>
        <w:t xml:space="preserve">                 </w:t>
      </w:r>
      <w:r>
        <w:rPr>
          <w:rFonts w:hint="eastAsia" w:ascii="宋体" w:hAnsi="宋体" w:cs="宋体"/>
          <w:color w:val="auto"/>
          <w:sz w:val="24"/>
          <w:szCs w:val="24"/>
        </w:rPr>
        <w:t>（采购项目编号：</w:t>
      </w:r>
      <w:r>
        <w:rPr>
          <w:rFonts w:hint="eastAsia" w:ascii="宋体" w:hAnsi="宋体" w:cs="宋体"/>
          <w:color w:val="auto"/>
          <w:sz w:val="24"/>
          <w:szCs w:val="24"/>
          <w:u w:val="single"/>
        </w:rPr>
        <w:t xml:space="preserve">             </w:t>
      </w:r>
      <w:r>
        <w:rPr>
          <w:rFonts w:hint="eastAsia" w:ascii="宋体" w:hAnsi="宋体" w:cs="宋体"/>
          <w:color w:val="auto"/>
          <w:sz w:val="24"/>
          <w:szCs w:val="24"/>
        </w:rPr>
        <w:t>）的</w:t>
      </w:r>
      <w:r>
        <w:rPr>
          <w:rFonts w:hint="eastAsia" w:ascii="宋体" w:hAnsi="宋体" w:cs="宋体"/>
          <w:color w:val="auto"/>
          <w:sz w:val="24"/>
          <w:szCs w:val="24"/>
          <w:lang w:val="en-US" w:eastAsia="zh-CN"/>
        </w:rPr>
        <w:t>采购</w:t>
      </w:r>
      <w:bookmarkStart w:id="46" w:name="_GoBack"/>
      <w:bookmarkEnd w:id="46"/>
      <w:r>
        <w:rPr>
          <w:rFonts w:hint="eastAsia" w:ascii="宋体" w:hAnsi="宋体" w:cs="宋体"/>
          <w:color w:val="auto"/>
          <w:sz w:val="24"/>
          <w:szCs w:val="24"/>
        </w:rPr>
        <w:t>文件、</w:t>
      </w:r>
      <w:r>
        <w:rPr>
          <w:rFonts w:hint="eastAsia" w:ascii="宋体" w:hAnsi="宋体" w:cs="宋体"/>
          <w:color w:val="auto"/>
          <w:sz w:val="24"/>
          <w:szCs w:val="24"/>
          <w:lang w:eastAsia="zh-CN"/>
        </w:rPr>
        <w:t>乙方</w:t>
      </w:r>
      <w:r>
        <w:rPr>
          <w:rFonts w:hint="eastAsia" w:ascii="宋体" w:hAnsi="宋体" w:cs="宋体"/>
          <w:color w:val="auto"/>
          <w:sz w:val="24"/>
          <w:szCs w:val="24"/>
        </w:rPr>
        <w:t>的</w:t>
      </w:r>
      <w:r>
        <w:rPr>
          <w:rFonts w:hint="eastAsia" w:ascii="宋体" w:hAnsi="宋体" w:cs="宋体"/>
          <w:color w:val="auto"/>
          <w:sz w:val="24"/>
          <w:szCs w:val="24"/>
          <w:lang w:val="en-US" w:eastAsia="zh-CN"/>
        </w:rPr>
        <w:t>响应</w:t>
      </w:r>
      <w:r>
        <w:rPr>
          <w:rFonts w:hint="eastAsia" w:ascii="宋体" w:hAnsi="宋体" w:cs="宋体"/>
          <w:color w:val="auto"/>
          <w:sz w:val="24"/>
          <w:szCs w:val="24"/>
        </w:rPr>
        <w:t>文件，为保证甲方采购项目的顺利实施，甲、乙双方同意签订本合同，并共同遵守如下条款：</w:t>
      </w:r>
    </w:p>
    <w:p w14:paraId="08644621">
      <w:pPr>
        <w:keepNext w:val="0"/>
        <w:keepLines w:val="0"/>
        <w:pageBreakBefore w:val="0"/>
        <w:widowControl w:val="0"/>
        <w:kinsoku/>
        <w:wordWrap/>
        <w:overflowPunct/>
        <w:topLinePunct w:val="0"/>
        <w:autoSpaceDE/>
        <w:autoSpaceDN/>
        <w:bidi w:val="0"/>
        <w:adjustRightInd w:val="0"/>
        <w:snapToGrid w:val="0"/>
        <w:spacing w:line="440" w:lineRule="exact"/>
        <w:ind w:firstLine="530" w:firstLineChars="200"/>
        <w:textAlignment w:val="auto"/>
        <w:rPr>
          <w:rFonts w:hint="eastAsia" w:ascii="宋体" w:hAnsi="宋体" w:eastAsia="宋体" w:cs="宋体"/>
          <w:b/>
          <w:bCs/>
          <w:caps w:val="0"/>
          <w:snapToGrid w:val="0"/>
          <w:color w:val="auto"/>
          <w:spacing w:val="12"/>
          <w:kern w:val="0"/>
          <w:sz w:val="24"/>
          <w:szCs w:val="24"/>
          <w:highlight w:val="none"/>
          <w:lang w:val="en-US" w:eastAsia="zh-CN"/>
        </w:rPr>
      </w:pPr>
      <w:r>
        <w:rPr>
          <w:rFonts w:hint="eastAsia" w:ascii="宋体" w:hAnsi="宋体" w:eastAsia="宋体" w:cs="宋体"/>
          <w:b/>
          <w:bCs/>
          <w:caps w:val="0"/>
          <w:snapToGrid w:val="0"/>
          <w:color w:val="auto"/>
          <w:spacing w:val="12"/>
          <w:kern w:val="0"/>
          <w:sz w:val="24"/>
          <w:szCs w:val="24"/>
          <w:highlight w:val="none"/>
          <w:lang w:val="en-US" w:eastAsia="zh-CN"/>
        </w:rPr>
        <w:t>1</w:t>
      </w:r>
      <w:r>
        <w:rPr>
          <w:rFonts w:hint="eastAsia" w:ascii="宋体" w:hAnsi="宋体" w:eastAsia="宋体" w:cs="宋体"/>
          <w:b/>
          <w:bCs/>
          <w:caps w:val="0"/>
          <w:snapToGrid w:val="0"/>
          <w:color w:val="auto"/>
          <w:spacing w:val="12"/>
          <w:kern w:val="0"/>
          <w:sz w:val="24"/>
          <w:szCs w:val="24"/>
          <w:highlight w:val="none"/>
          <w:lang w:eastAsia="zh-CN"/>
        </w:rPr>
        <w:t>、</w:t>
      </w:r>
      <w:r>
        <w:rPr>
          <w:rFonts w:hint="eastAsia" w:ascii="宋体" w:hAnsi="宋体" w:eastAsia="宋体" w:cs="宋体"/>
          <w:b/>
          <w:bCs/>
          <w:caps w:val="0"/>
          <w:snapToGrid w:val="0"/>
          <w:color w:val="auto"/>
          <w:spacing w:val="12"/>
          <w:kern w:val="0"/>
          <w:sz w:val="24"/>
          <w:szCs w:val="24"/>
          <w:highlight w:val="none"/>
          <w:lang w:val="en-US" w:eastAsia="zh-CN"/>
        </w:rPr>
        <w:t>合同标的</w:t>
      </w:r>
    </w:p>
    <w:p w14:paraId="730B37CE">
      <w:pPr>
        <w:keepNext w:val="0"/>
        <w:keepLines w:val="0"/>
        <w:pageBreakBefore w:val="0"/>
        <w:widowControl w:val="0"/>
        <w:kinsoku/>
        <w:wordWrap/>
        <w:overflowPunct/>
        <w:topLinePunct w:val="0"/>
        <w:autoSpaceDE/>
        <w:autoSpaceDN/>
        <w:bidi w:val="0"/>
        <w:adjustRightInd w:val="0"/>
        <w:snapToGrid w:val="0"/>
        <w:spacing w:line="440" w:lineRule="exact"/>
        <w:ind w:firstLine="528" w:firstLineChars="200"/>
        <w:textAlignment w:val="auto"/>
        <w:rPr>
          <w:rFonts w:hint="eastAsia" w:ascii="宋体" w:hAnsi="宋体" w:eastAsia="宋体" w:cs="宋体"/>
          <w:b/>
          <w:bCs/>
          <w:caps w:val="0"/>
          <w:snapToGrid w:val="0"/>
          <w:color w:val="auto"/>
          <w:spacing w:val="12"/>
          <w:kern w:val="0"/>
          <w:sz w:val="24"/>
          <w:szCs w:val="24"/>
          <w:highlight w:val="none"/>
          <w:lang w:val="en-US" w:eastAsia="zh-CN"/>
        </w:rPr>
      </w:pPr>
      <w:r>
        <w:rPr>
          <w:rFonts w:hint="eastAsia" w:ascii="宋体" w:hAnsi="宋体" w:eastAsia="宋体" w:cs="宋体"/>
          <w:b w:val="0"/>
          <w:bCs w:val="0"/>
          <w:caps w:val="0"/>
          <w:snapToGrid w:val="0"/>
          <w:color w:val="auto"/>
          <w:spacing w:val="12"/>
          <w:kern w:val="0"/>
          <w:sz w:val="24"/>
          <w:szCs w:val="24"/>
          <w:highlight w:val="none"/>
          <w:lang w:val="en-US" w:eastAsia="zh-CN"/>
        </w:rPr>
        <w:t>乙方向甲方提供下列货物（产品）:</w:t>
      </w:r>
      <w:r>
        <w:rPr>
          <w:rFonts w:hint="eastAsia" w:ascii="宋体" w:hAnsi="宋体" w:eastAsia="宋体" w:cs="宋体"/>
          <w:b w:val="0"/>
          <w:bCs w:val="0"/>
          <w:caps w:val="0"/>
          <w:snapToGrid w:val="0"/>
          <w:color w:val="auto"/>
          <w:spacing w:val="12"/>
          <w:kern w:val="0"/>
          <w:sz w:val="24"/>
          <w:szCs w:val="24"/>
          <w:highlight w:val="none"/>
          <w:lang w:val="en-US" w:eastAsia="zh-CN"/>
        </w:rPr>
        <w:tab/>
      </w:r>
    </w:p>
    <w:tbl>
      <w:tblPr>
        <w:tblStyle w:val="5"/>
        <w:tblW w:w="90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1275"/>
        <w:gridCol w:w="900"/>
        <w:gridCol w:w="1181"/>
        <w:gridCol w:w="750"/>
        <w:gridCol w:w="800"/>
        <w:gridCol w:w="1000"/>
        <w:gridCol w:w="987"/>
        <w:gridCol w:w="1019"/>
      </w:tblGrid>
      <w:tr w14:paraId="56ADE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83" w:type="dxa"/>
            <w:vAlign w:val="center"/>
          </w:tcPr>
          <w:p w14:paraId="1C766363">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r>
              <w:rPr>
                <w:rFonts w:hint="eastAsia" w:ascii="宋体" w:hAnsi="宋体" w:cs="宋体"/>
                <w:color w:val="auto"/>
                <w:sz w:val="24"/>
                <w:szCs w:val="24"/>
              </w:rPr>
              <w:t>货物名称</w:t>
            </w:r>
          </w:p>
        </w:tc>
        <w:tc>
          <w:tcPr>
            <w:tcW w:w="1275" w:type="dxa"/>
            <w:vAlign w:val="center"/>
          </w:tcPr>
          <w:p w14:paraId="13462690">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color w:val="auto"/>
                <w:sz w:val="24"/>
                <w:szCs w:val="24"/>
              </w:rPr>
            </w:pPr>
            <w:r>
              <w:rPr>
                <w:rFonts w:hint="eastAsia" w:ascii="宋体" w:hAnsi="宋体" w:cs="宋体"/>
                <w:color w:val="auto"/>
                <w:sz w:val="24"/>
                <w:szCs w:val="24"/>
              </w:rPr>
              <w:t>型号规格</w:t>
            </w:r>
          </w:p>
        </w:tc>
        <w:tc>
          <w:tcPr>
            <w:tcW w:w="900" w:type="dxa"/>
            <w:vAlign w:val="center"/>
          </w:tcPr>
          <w:p w14:paraId="3B41CAEA">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r>
              <w:rPr>
                <w:rFonts w:hint="eastAsia" w:ascii="宋体" w:hAnsi="宋体" w:cs="宋体"/>
                <w:color w:val="auto"/>
                <w:sz w:val="24"/>
                <w:szCs w:val="24"/>
              </w:rPr>
              <w:t>品牌</w:t>
            </w:r>
          </w:p>
        </w:tc>
        <w:tc>
          <w:tcPr>
            <w:tcW w:w="1181" w:type="dxa"/>
            <w:vAlign w:val="center"/>
          </w:tcPr>
          <w:p w14:paraId="2CDD5763">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color w:val="auto"/>
                <w:sz w:val="24"/>
                <w:szCs w:val="24"/>
              </w:rPr>
            </w:pPr>
            <w:r>
              <w:rPr>
                <w:rFonts w:hint="eastAsia" w:ascii="宋体" w:hAnsi="宋体" w:cs="宋体"/>
                <w:color w:val="auto"/>
                <w:sz w:val="24"/>
                <w:szCs w:val="24"/>
              </w:rPr>
              <w:t>生产厂家</w:t>
            </w:r>
          </w:p>
        </w:tc>
        <w:tc>
          <w:tcPr>
            <w:tcW w:w="750" w:type="dxa"/>
            <w:vAlign w:val="center"/>
          </w:tcPr>
          <w:p w14:paraId="1103796C">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r>
              <w:rPr>
                <w:rFonts w:hint="eastAsia" w:ascii="宋体" w:hAnsi="宋体" w:cs="宋体"/>
                <w:color w:val="auto"/>
                <w:sz w:val="24"/>
                <w:szCs w:val="24"/>
              </w:rPr>
              <w:t>单位</w:t>
            </w:r>
          </w:p>
        </w:tc>
        <w:tc>
          <w:tcPr>
            <w:tcW w:w="800" w:type="dxa"/>
            <w:vAlign w:val="center"/>
          </w:tcPr>
          <w:p w14:paraId="197BFA78">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r>
              <w:rPr>
                <w:rFonts w:hint="eastAsia" w:ascii="宋体" w:hAnsi="宋体" w:cs="宋体"/>
                <w:color w:val="auto"/>
                <w:sz w:val="24"/>
                <w:szCs w:val="24"/>
              </w:rPr>
              <w:t>数量</w:t>
            </w:r>
          </w:p>
        </w:tc>
        <w:tc>
          <w:tcPr>
            <w:tcW w:w="1000" w:type="dxa"/>
            <w:vAlign w:val="bottom"/>
          </w:tcPr>
          <w:p w14:paraId="0B48D258">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color w:val="auto"/>
                <w:sz w:val="24"/>
                <w:szCs w:val="24"/>
              </w:rPr>
            </w:pPr>
            <w:r>
              <w:rPr>
                <w:rFonts w:hint="eastAsia" w:ascii="宋体" w:hAnsi="宋体" w:cs="宋体"/>
                <w:color w:val="auto"/>
                <w:sz w:val="24"/>
                <w:szCs w:val="24"/>
              </w:rPr>
              <w:t>单价（元）</w:t>
            </w:r>
          </w:p>
        </w:tc>
        <w:tc>
          <w:tcPr>
            <w:tcW w:w="987" w:type="dxa"/>
            <w:vAlign w:val="center"/>
          </w:tcPr>
          <w:p w14:paraId="0A1514E5">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color w:val="auto"/>
                <w:sz w:val="24"/>
                <w:szCs w:val="24"/>
              </w:rPr>
            </w:pPr>
            <w:r>
              <w:rPr>
                <w:rFonts w:hint="eastAsia" w:ascii="宋体" w:hAnsi="宋体" w:cs="宋体"/>
                <w:color w:val="auto"/>
                <w:sz w:val="24"/>
                <w:szCs w:val="24"/>
              </w:rPr>
              <w:t>金额（元）</w:t>
            </w:r>
          </w:p>
        </w:tc>
        <w:tc>
          <w:tcPr>
            <w:tcW w:w="1019" w:type="dxa"/>
            <w:vAlign w:val="center"/>
          </w:tcPr>
          <w:p w14:paraId="3B7C1EBC">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color w:val="auto"/>
                <w:sz w:val="24"/>
                <w:szCs w:val="24"/>
              </w:rPr>
            </w:pPr>
            <w:r>
              <w:rPr>
                <w:rFonts w:hint="eastAsia" w:ascii="宋体" w:hAnsi="宋体" w:cs="宋体"/>
                <w:color w:val="auto"/>
                <w:sz w:val="24"/>
                <w:szCs w:val="24"/>
              </w:rPr>
              <w:t>交货期</w:t>
            </w:r>
          </w:p>
        </w:tc>
      </w:tr>
      <w:tr w14:paraId="179B4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83" w:type="dxa"/>
            <w:vAlign w:val="center"/>
          </w:tcPr>
          <w:p w14:paraId="2E492FDC">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275" w:type="dxa"/>
            <w:vAlign w:val="center"/>
          </w:tcPr>
          <w:p w14:paraId="4592167D">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900" w:type="dxa"/>
            <w:vAlign w:val="center"/>
          </w:tcPr>
          <w:p w14:paraId="41482434">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181" w:type="dxa"/>
            <w:vAlign w:val="center"/>
          </w:tcPr>
          <w:p w14:paraId="5E8A001B">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750" w:type="dxa"/>
            <w:vAlign w:val="center"/>
          </w:tcPr>
          <w:p w14:paraId="4017F462">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800" w:type="dxa"/>
            <w:vAlign w:val="center"/>
          </w:tcPr>
          <w:p w14:paraId="72C3DD09">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000" w:type="dxa"/>
            <w:vAlign w:val="center"/>
          </w:tcPr>
          <w:p w14:paraId="35B0372A">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987" w:type="dxa"/>
            <w:vAlign w:val="center"/>
          </w:tcPr>
          <w:p w14:paraId="5B3BC0A5">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019" w:type="dxa"/>
            <w:vAlign w:val="center"/>
          </w:tcPr>
          <w:p w14:paraId="305533EA">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r>
      <w:tr w14:paraId="1A76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83" w:type="dxa"/>
            <w:vAlign w:val="center"/>
          </w:tcPr>
          <w:p w14:paraId="1C8C7A41">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275" w:type="dxa"/>
            <w:vAlign w:val="center"/>
          </w:tcPr>
          <w:p w14:paraId="6C3D0384">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900" w:type="dxa"/>
            <w:vAlign w:val="center"/>
          </w:tcPr>
          <w:p w14:paraId="654C207C">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181" w:type="dxa"/>
            <w:vAlign w:val="center"/>
          </w:tcPr>
          <w:p w14:paraId="275D1B8D">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750" w:type="dxa"/>
            <w:vAlign w:val="center"/>
          </w:tcPr>
          <w:p w14:paraId="65B6D1C4">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800" w:type="dxa"/>
            <w:vAlign w:val="center"/>
          </w:tcPr>
          <w:p w14:paraId="1ECB6FC3">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000" w:type="dxa"/>
            <w:vAlign w:val="center"/>
          </w:tcPr>
          <w:p w14:paraId="3CD99EA7">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987" w:type="dxa"/>
            <w:vAlign w:val="center"/>
          </w:tcPr>
          <w:p w14:paraId="01F39C69">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019" w:type="dxa"/>
            <w:vAlign w:val="center"/>
          </w:tcPr>
          <w:p w14:paraId="0E6F8F9E">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r>
      <w:tr w14:paraId="65C5B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83" w:type="dxa"/>
            <w:vAlign w:val="center"/>
          </w:tcPr>
          <w:p w14:paraId="1641BD07">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275" w:type="dxa"/>
            <w:vAlign w:val="center"/>
          </w:tcPr>
          <w:p w14:paraId="3A2F99AE">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900" w:type="dxa"/>
            <w:vAlign w:val="center"/>
          </w:tcPr>
          <w:p w14:paraId="41D0317E">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181" w:type="dxa"/>
            <w:vAlign w:val="center"/>
          </w:tcPr>
          <w:p w14:paraId="12F0413E">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750" w:type="dxa"/>
            <w:vAlign w:val="center"/>
          </w:tcPr>
          <w:p w14:paraId="63D2538E">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800" w:type="dxa"/>
            <w:vAlign w:val="center"/>
          </w:tcPr>
          <w:p w14:paraId="79516871">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000" w:type="dxa"/>
            <w:vAlign w:val="center"/>
          </w:tcPr>
          <w:p w14:paraId="0286BC25">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987" w:type="dxa"/>
            <w:vAlign w:val="center"/>
          </w:tcPr>
          <w:p w14:paraId="0B1080C8">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019" w:type="dxa"/>
            <w:vAlign w:val="center"/>
          </w:tcPr>
          <w:p w14:paraId="6227A1B0">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r>
      <w:tr w14:paraId="10FE8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83" w:type="dxa"/>
            <w:vAlign w:val="center"/>
          </w:tcPr>
          <w:p w14:paraId="3454B38C">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275" w:type="dxa"/>
            <w:vAlign w:val="center"/>
          </w:tcPr>
          <w:p w14:paraId="44DC0815">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900" w:type="dxa"/>
            <w:vAlign w:val="center"/>
          </w:tcPr>
          <w:p w14:paraId="22307612">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181" w:type="dxa"/>
            <w:vAlign w:val="center"/>
          </w:tcPr>
          <w:p w14:paraId="4B4C9CA8">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750" w:type="dxa"/>
            <w:vAlign w:val="center"/>
          </w:tcPr>
          <w:p w14:paraId="25528E41">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800" w:type="dxa"/>
            <w:vAlign w:val="center"/>
          </w:tcPr>
          <w:p w14:paraId="6431DFBC">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000" w:type="dxa"/>
            <w:vAlign w:val="center"/>
          </w:tcPr>
          <w:p w14:paraId="4EDF2130">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987" w:type="dxa"/>
            <w:vAlign w:val="center"/>
          </w:tcPr>
          <w:p w14:paraId="328DFCC6">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019" w:type="dxa"/>
            <w:vAlign w:val="center"/>
          </w:tcPr>
          <w:p w14:paraId="297BCB81">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r>
      <w:tr w14:paraId="37A12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83" w:type="dxa"/>
            <w:vAlign w:val="center"/>
          </w:tcPr>
          <w:p w14:paraId="49A97A9F">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275" w:type="dxa"/>
            <w:vAlign w:val="center"/>
          </w:tcPr>
          <w:p w14:paraId="0FEA3EE1">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900" w:type="dxa"/>
            <w:vAlign w:val="center"/>
          </w:tcPr>
          <w:p w14:paraId="3992505C">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181" w:type="dxa"/>
            <w:vAlign w:val="center"/>
          </w:tcPr>
          <w:p w14:paraId="1A97715D">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750" w:type="dxa"/>
            <w:vAlign w:val="center"/>
          </w:tcPr>
          <w:p w14:paraId="5EB331BA">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800" w:type="dxa"/>
            <w:vAlign w:val="center"/>
          </w:tcPr>
          <w:p w14:paraId="62060DAD">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000" w:type="dxa"/>
            <w:vAlign w:val="center"/>
          </w:tcPr>
          <w:p w14:paraId="4562AD6C">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987" w:type="dxa"/>
            <w:vAlign w:val="center"/>
          </w:tcPr>
          <w:p w14:paraId="2D4491C6">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c>
          <w:tcPr>
            <w:tcW w:w="1019" w:type="dxa"/>
            <w:vAlign w:val="center"/>
          </w:tcPr>
          <w:p w14:paraId="34B86255">
            <w:pPr>
              <w:keepNext w:val="0"/>
              <w:keepLines w:val="0"/>
              <w:pageBreakBefore w:val="0"/>
              <w:widowControl w:val="0"/>
              <w:kinsoku/>
              <w:wordWrap/>
              <w:overflowPunct/>
              <w:topLinePunct w:val="0"/>
              <w:autoSpaceDE/>
              <w:autoSpaceDN/>
              <w:bidi w:val="0"/>
              <w:adjustRightInd/>
              <w:spacing w:line="440" w:lineRule="exact"/>
              <w:ind w:right="0" w:firstLine="0" w:firstLineChars="0"/>
              <w:jc w:val="center"/>
              <w:textAlignment w:val="auto"/>
              <w:rPr>
                <w:rFonts w:ascii="宋体" w:hAnsi="宋体" w:cs="宋体"/>
                <w:b/>
                <w:color w:val="auto"/>
                <w:sz w:val="24"/>
                <w:szCs w:val="24"/>
              </w:rPr>
            </w:pPr>
          </w:p>
        </w:tc>
      </w:tr>
      <w:tr w14:paraId="66E96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183" w:type="dxa"/>
            <w:vAlign w:val="center"/>
          </w:tcPr>
          <w:p w14:paraId="1D191A7D">
            <w:pPr>
              <w:keepNext w:val="0"/>
              <w:keepLines w:val="0"/>
              <w:pageBreakBefore w:val="0"/>
              <w:widowControl w:val="0"/>
              <w:kinsoku/>
              <w:wordWrap/>
              <w:overflowPunct/>
              <w:topLinePunct w:val="0"/>
              <w:autoSpaceDE/>
              <w:autoSpaceDN/>
              <w:bidi w:val="0"/>
              <w:adjustRightInd/>
              <w:snapToGrid w:val="0"/>
              <w:spacing w:line="440" w:lineRule="exact"/>
              <w:ind w:right="0" w:firstLine="0" w:firstLineChars="0"/>
              <w:jc w:val="center"/>
              <w:textAlignment w:val="auto"/>
              <w:rPr>
                <w:rFonts w:ascii="宋体" w:hAnsi="宋体" w:cs="宋体"/>
                <w:b/>
                <w:color w:val="auto"/>
                <w:sz w:val="24"/>
                <w:szCs w:val="24"/>
              </w:rPr>
            </w:pPr>
            <w:r>
              <w:rPr>
                <w:rFonts w:hint="eastAsia" w:ascii="宋体" w:hAnsi="宋体" w:cs="宋体"/>
                <w:color w:val="auto"/>
                <w:sz w:val="24"/>
                <w:szCs w:val="24"/>
              </w:rPr>
              <w:t>合计（元）</w:t>
            </w:r>
          </w:p>
        </w:tc>
        <w:tc>
          <w:tcPr>
            <w:tcW w:w="7912" w:type="dxa"/>
            <w:gridSpan w:val="8"/>
            <w:vAlign w:val="center"/>
          </w:tcPr>
          <w:p w14:paraId="728394EF">
            <w:pPr>
              <w:keepNext w:val="0"/>
              <w:keepLines w:val="0"/>
              <w:pageBreakBefore w:val="0"/>
              <w:widowControl w:val="0"/>
              <w:kinsoku/>
              <w:wordWrap/>
              <w:overflowPunct/>
              <w:topLinePunct w:val="0"/>
              <w:autoSpaceDE/>
              <w:autoSpaceDN/>
              <w:bidi w:val="0"/>
              <w:adjustRightInd/>
              <w:snapToGrid w:val="0"/>
              <w:spacing w:line="440" w:lineRule="exact"/>
              <w:ind w:right="0" w:firstLine="0" w:firstLineChars="0"/>
              <w:textAlignment w:val="auto"/>
              <w:rPr>
                <w:rFonts w:ascii="宋体" w:hAnsi="宋体" w:cs="宋体"/>
                <w:color w:val="auto"/>
                <w:sz w:val="24"/>
                <w:szCs w:val="24"/>
              </w:rPr>
            </w:pPr>
            <w:r>
              <w:rPr>
                <w:rFonts w:hint="eastAsia" w:ascii="宋体" w:hAnsi="宋体" w:cs="宋体"/>
                <w:color w:val="auto"/>
                <w:sz w:val="24"/>
                <w:szCs w:val="24"/>
              </w:rPr>
              <w:t>小写：</w:t>
            </w:r>
          </w:p>
          <w:p w14:paraId="6F86C783">
            <w:pPr>
              <w:keepNext w:val="0"/>
              <w:keepLines w:val="0"/>
              <w:pageBreakBefore w:val="0"/>
              <w:widowControl w:val="0"/>
              <w:kinsoku/>
              <w:wordWrap/>
              <w:overflowPunct/>
              <w:topLinePunct w:val="0"/>
              <w:autoSpaceDE/>
              <w:autoSpaceDN/>
              <w:bidi w:val="0"/>
              <w:adjustRightInd/>
              <w:snapToGrid w:val="0"/>
              <w:spacing w:line="440" w:lineRule="exact"/>
              <w:ind w:right="0" w:firstLine="0" w:firstLineChars="0"/>
              <w:textAlignment w:val="auto"/>
              <w:rPr>
                <w:rFonts w:ascii="宋体" w:hAnsi="宋体" w:cs="宋体"/>
                <w:b/>
                <w:color w:val="auto"/>
                <w:sz w:val="24"/>
                <w:szCs w:val="24"/>
              </w:rPr>
            </w:pPr>
            <w:r>
              <w:rPr>
                <w:rFonts w:hint="eastAsia" w:ascii="宋体" w:hAnsi="宋体" w:cs="宋体"/>
                <w:color w:val="auto"/>
                <w:sz w:val="24"/>
                <w:szCs w:val="24"/>
              </w:rPr>
              <w:t>大写：</w:t>
            </w:r>
          </w:p>
        </w:tc>
      </w:tr>
    </w:tbl>
    <w:p w14:paraId="46BAF707">
      <w:pPr>
        <w:keepNext w:val="0"/>
        <w:keepLines w:val="0"/>
        <w:pageBreakBefore w:val="0"/>
        <w:widowControl w:val="0"/>
        <w:kinsoku/>
        <w:wordWrap/>
        <w:overflowPunct/>
        <w:topLinePunct w:val="0"/>
        <w:autoSpaceDE/>
        <w:autoSpaceDN/>
        <w:bidi w:val="0"/>
        <w:adjustRightInd w:val="0"/>
        <w:snapToGrid w:val="0"/>
        <w:spacing w:line="440" w:lineRule="exact"/>
        <w:ind w:firstLine="530" w:firstLineChars="200"/>
        <w:textAlignment w:val="auto"/>
        <w:rPr>
          <w:rFonts w:hint="eastAsia" w:ascii="宋体" w:hAnsi="宋体" w:eastAsia="宋体" w:cs="宋体"/>
          <w:b/>
          <w:bCs/>
          <w:caps w:val="0"/>
          <w:snapToGrid w:val="0"/>
          <w:color w:val="auto"/>
          <w:spacing w:val="12"/>
          <w:kern w:val="0"/>
          <w:sz w:val="24"/>
          <w:szCs w:val="24"/>
          <w:highlight w:val="none"/>
          <w:lang w:val="en-US" w:eastAsia="zh-CN"/>
        </w:rPr>
      </w:pPr>
      <w:r>
        <w:rPr>
          <w:rFonts w:hint="eastAsia" w:ascii="宋体" w:hAnsi="宋体" w:eastAsia="宋体" w:cs="宋体"/>
          <w:b/>
          <w:bCs/>
          <w:caps w:val="0"/>
          <w:snapToGrid w:val="0"/>
          <w:color w:val="auto"/>
          <w:spacing w:val="12"/>
          <w:kern w:val="0"/>
          <w:sz w:val="24"/>
          <w:szCs w:val="24"/>
          <w:highlight w:val="none"/>
          <w:lang w:val="en-US" w:eastAsia="zh-CN"/>
        </w:rPr>
        <w:t>2、合同价款</w:t>
      </w:r>
    </w:p>
    <w:p w14:paraId="45F093F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28" w:firstLineChars="200"/>
        <w:textAlignment w:val="auto"/>
        <w:rPr>
          <w:rFonts w:hint="eastAsia" w:ascii="宋体" w:hAnsi="宋体" w:eastAsia="宋体" w:cs="宋体"/>
          <w:b w:val="0"/>
          <w:bCs/>
          <w:caps w:val="0"/>
          <w:snapToGrid w:val="0"/>
          <w:color w:val="auto"/>
          <w:spacing w:val="12"/>
          <w:kern w:val="0"/>
          <w:sz w:val="24"/>
          <w:szCs w:val="24"/>
          <w:highlight w:val="none"/>
          <w:lang w:val="en-US" w:eastAsia="zh-CN"/>
        </w:rPr>
      </w:pPr>
      <w:r>
        <w:rPr>
          <w:rFonts w:hint="eastAsia" w:ascii="宋体" w:hAnsi="宋体" w:eastAsia="宋体" w:cs="宋体"/>
          <w:b w:val="0"/>
          <w:bCs/>
          <w:caps w:val="0"/>
          <w:snapToGrid w:val="0"/>
          <w:color w:val="auto"/>
          <w:spacing w:val="12"/>
          <w:kern w:val="0"/>
          <w:sz w:val="24"/>
          <w:szCs w:val="24"/>
          <w:highlight w:val="none"/>
          <w:lang w:val="en-US" w:eastAsia="zh-CN"/>
        </w:rPr>
        <w:t>2.1、合同总价款为人民币（大写）</w:t>
      </w:r>
      <w:r>
        <w:rPr>
          <w:rFonts w:hint="eastAsia" w:ascii="宋体" w:hAnsi="宋体" w:eastAsia="宋体" w:cs="宋体"/>
          <w:b w:val="0"/>
          <w:bCs/>
          <w:caps w:val="0"/>
          <w:snapToGrid w:val="0"/>
          <w:color w:val="auto"/>
          <w:spacing w:val="12"/>
          <w:kern w:val="0"/>
          <w:sz w:val="24"/>
          <w:szCs w:val="24"/>
          <w:highlight w:val="none"/>
          <w:u w:val="single"/>
          <w:lang w:val="en-US" w:eastAsia="zh-CN"/>
        </w:rPr>
        <w:t xml:space="preserve">        </w:t>
      </w:r>
      <w:r>
        <w:rPr>
          <w:rFonts w:hint="eastAsia" w:ascii="宋体" w:hAnsi="宋体" w:eastAsia="宋体" w:cs="宋体"/>
          <w:b w:val="0"/>
          <w:bCs/>
          <w:caps w:val="0"/>
          <w:snapToGrid w:val="0"/>
          <w:color w:val="auto"/>
          <w:spacing w:val="12"/>
          <w:kern w:val="0"/>
          <w:sz w:val="24"/>
          <w:szCs w:val="24"/>
          <w:highlight w:val="none"/>
          <w:u w:val="none"/>
          <w:lang w:val="en-US" w:eastAsia="zh-CN"/>
        </w:rPr>
        <w:t>（￥</w:t>
      </w:r>
      <w:r>
        <w:rPr>
          <w:rFonts w:hint="eastAsia" w:ascii="宋体" w:hAnsi="宋体" w:eastAsia="宋体" w:cs="宋体"/>
          <w:b w:val="0"/>
          <w:bCs/>
          <w:caps w:val="0"/>
          <w:snapToGrid w:val="0"/>
          <w:color w:val="auto"/>
          <w:spacing w:val="12"/>
          <w:kern w:val="0"/>
          <w:sz w:val="24"/>
          <w:szCs w:val="24"/>
          <w:highlight w:val="none"/>
          <w:u w:val="single"/>
          <w:lang w:val="en-US" w:eastAsia="zh-CN"/>
        </w:rPr>
        <w:t xml:space="preserve">      </w:t>
      </w:r>
      <w:r>
        <w:rPr>
          <w:rFonts w:hint="eastAsia" w:ascii="宋体" w:hAnsi="宋体" w:eastAsia="宋体" w:cs="宋体"/>
          <w:b w:val="0"/>
          <w:bCs/>
          <w:caps w:val="0"/>
          <w:snapToGrid w:val="0"/>
          <w:color w:val="auto"/>
          <w:spacing w:val="12"/>
          <w:kern w:val="0"/>
          <w:sz w:val="24"/>
          <w:szCs w:val="24"/>
          <w:highlight w:val="none"/>
          <w:u w:val="none"/>
          <w:lang w:val="en-US" w:eastAsia="zh-CN"/>
        </w:rPr>
        <w:t>）</w:t>
      </w:r>
      <w:r>
        <w:rPr>
          <w:rFonts w:hint="eastAsia" w:ascii="宋体" w:hAnsi="宋体" w:eastAsia="宋体" w:cs="宋体"/>
          <w:b w:val="0"/>
          <w:bCs/>
          <w:caps w:val="0"/>
          <w:snapToGrid w:val="0"/>
          <w:color w:val="auto"/>
          <w:spacing w:val="12"/>
          <w:kern w:val="0"/>
          <w:sz w:val="24"/>
          <w:szCs w:val="24"/>
          <w:highlight w:val="none"/>
          <w:lang w:val="en-US" w:eastAsia="zh-CN"/>
        </w:rPr>
        <w:t>。</w:t>
      </w:r>
    </w:p>
    <w:p w14:paraId="667556BF">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28" w:firstLineChars="200"/>
        <w:textAlignment w:val="auto"/>
        <w:rPr>
          <w:rFonts w:hint="eastAsia" w:ascii="宋体" w:hAnsi="宋体" w:eastAsia="宋体" w:cs="宋体"/>
          <w:b w:val="0"/>
          <w:bCs/>
          <w:caps w:val="0"/>
          <w:snapToGrid w:val="0"/>
          <w:color w:val="auto"/>
          <w:spacing w:val="12"/>
          <w:kern w:val="0"/>
          <w:sz w:val="24"/>
          <w:szCs w:val="24"/>
          <w:highlight w:val="none"/>
          <w:lang w:val="en-US" w:eastAsia="zh-CN"/>
        </w:rPr>
      </w:pPr>
      <w:r>
        <w:rPr>
          <w:rFonts w:hint="eastAsia" w:ascii="宋体" w:hAnsi="宋体" w:eastAsia="宋体" w:cs="宋体"/>
          <w:b w:val="0"/>
          <w:bCs/>
          <w:caps w:val="0"/>
          <w:snapToGrid w:val="0"/>
          <w:color w:val="auto"/>
          <w:spacing w:val="12"/>
          <w:kern w:val="0"/>
          <w:sz w:val="24"/>
          <w:szCs w:val="24"/>
          <w:highlight w:val="none"/>
          <w:lang w:val="en-US" w:eastAsia="zh-CN"/>
        </w:rPr>
        <w:t>2.2、合同总价包括：</w:t>
      </w:r>
      <w:r>
        <w:rPr>
          <w:rFonts w:hint="eastAsia" w:ascii="宋体" w:hAnsi="宋体" w:cs="宋体"/>
          <w:b w:val="0"/>
          <w:bCs w:val="0"/>
          <w:color w:val="auto"/>
          <w:sz w:val="24"/>
          <w:szCs w:val="24"/>
          <w:highlight w:val="none"/>
          <w:lang w:val="en-US" w:eastAsia="zh-CN"/>
        </w:rPr>
        <w:t>货物</w:t>
      </w:r>
      <w:r>
        <w:rPr>
          <w:rFonts w:hint="eastAsia" w:ascii="宋体" w:hAnsi="宋体" w:eastAsia="宋体" w:cs="宋体"/>
          <w:b w:val="0"/>
          <w:bCs w:val="0"/>
          <w:color w:val="auto"/>
          <w:sz w:val="24"/>
          <w:szCs w:val="24"/>
          <w:highlight w:val="none"/>
          <w:lang w:val="en-US" w:eastAsia="zh-CN"/>
        </w:rPr>
        <w:t>总价、</w:t>
      </w:r>
      <w:r>
        <w:rPr>
          <w:rFonts w:hint="eastAsia" w:ascii="宋体" w:hAnsi="宋体" w:eastAsia="宋体" w:cs="宋体"/>
          <w:b w:val="0"/>
          <w:bCs w:val="0"/>
          <w:color w:val="auto"/>
          <w:sz w:val="24"/>
          <w:szCs w:val="24"/>
          <w:highlight w:val="none"/>
          <w:lang w:val="zh-CN"/>
        </w:rPr>
        <w:t>货物运达指定地点的运杂费（含运输费、保险费）、安装调试费、检测验收费</w:t>
      </w:r>
      <w:r>
        <w:rPr>
          <w:rFonts w:hint="eastAsia" w:ascii="宋体" w:hAnsi="宋体" w:cs="宋体"/>
          <w:b w:val="0"/>
          <w:bCs w:val="0"/>
          <w:color w:val="auto"/>
          <w:sz w:val="24"/>
          <w:szCs w:val="24"/>
          <w:highlight w:val="none"/>
          <w:lang w:val="zh-CN"/>
        </w:rPr>
        <w:t>、</w:t>
      </w:r>
      <w:r>
        <w:rPr>
          <w:rFonts w:hint="eastAsia" w:ascii="宋体" w:hAnsi="宋体" w:cs="宋体"/>
          <w:b w:val="0"/>
          <w:bCs w:val="0"/>
          <w:color w:val="auto"/>
          <w:sz w:val="24"/>
          <w:szCs w:val="24"/>
          <w:highlight w:val="none"/>
          <w:lang w:val="en-US" w:eastAsia="zh-CN"/>
        </w:rPr>
        <w:t>培训费</w:t>
      </w:r>
      <w:r>
        <w:rPr>
          <w:rFonts w:hint="eastAsia" w:ascii="宋体" w:hAnsi="宋体" w:eastAsia="宋体" w:cs="宋体"/>
          <w:b w:val="0"/>
          <w:bCs w:val="0"/>
          <w:color w:val="auto"/>
          <w:sz w:val="24"/>
          <w:szCs w:val="24"/>
          <w:highlight w:val="none"/>
          <w:lang w:val="zh-CN"/>
        </w:rPr>
        <w:t>等至交付采购人使用的一切费用</w:t>
      </w:r>
      <w:r>
        <w:rPr>
          <w:rFonts w:hint="eastAsia" w:ascii="宋体" w:hAnsi="宋体" w:eastAsia="宋体" w:cs="宋体"/>
          <w:b w:val="0"/>
          <w:bCs/>
          <w:color w:val="auto"/>
          <w:sz w:val="24"/>
          <w:szCs w:val="24"/>
          <w:highlight w:val="none"/>
          <w:lang w:val="en-US" w:eastAsia="zh-CN"/>
        </w:rPr>
        <w:t>。</w:t>
      </w:r>
    </w:p>
    <w:p w14:paraId="07A09AA9">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28" w:firstLineChars="200"/>
        <w:textAlignment w:val="auto"/>
        <w:rPr>
          <w:rFonts w:hint="eastAsia" w:ascii="宋体" w:hAnsi="宋体" w:eastAsia="宋体" w:cs="宋体"/>
          <w:b w:val="0"/>
          <w:bCs/>
          <w:caps w:val="0"/>
          <w:snapToGrid w:val="0"/>
          <w:color w:val="auto"/>
          <w:spacing w:val="12"/>
          <w:kern w:val="0"/>
          <w:sz w:val="24"/>
          <w:szCs w:val="24"/>
          <w:highlight w:val="none"/>
          <w:lang w:val="en-US" w:eastAsia="zh-CN"/>
        </w:rPr>
      </w:pPr>
      <w:r>
        <w:rPr>
          <w:rFonts w:hint="eastAsia" w:ascii="宋体" w:hAnsi="宋体" w:eastAsia="宋体" w:cs="宋体"/>
          <w:b w:val="0"/>
          <w:bCs/>
          <w:caps w:val="0"/>
          <w:snapToGrid w:val="0"/>
          <w:color w:val="auto"/>
          <w:spacing w:val="12"/>
          <w:kern w:val="0"/>
          <w:sz w:val="24"/>
          <w:szCs w:val="24"/>
          <w:highlight w:val="none"/>
          <w:lang w:val="en-US" w:eastAsia="zh-CN"/>
        </w:rPr>
        <w:t>2.3、合同总价一次包死，不因市场因素、政府政策调整、费率调整和税收变化等而作任何调整。</w:t>
      </w:r>
    </w:p>
    <w:p w14:paraId="63046B87">
      <w:pPr>
        <w:keepNext w:val="0"/>
        <w:keepLines w:val="0"/>
        <w:pageBreakBefore w:val="0"/>
        <w:widowControl w:val="0"/>
        <w:numPr>
          <w:ilvl w:val="0"/>
          <w:numId w:val="0"/>
        </w:numPr>
        <w:kinsoku/>
        <w:wordWrap/>
        <w:overflowPunct/>
        <w:topLinePunct w:val="0"/>
        <w:autoSpaceDE/>
        <w:autoSpaceDN/>
        <w:bidi w:val="0"/>
        <w:spacing w:line="440" w:lineRule="exact"/>
        <w:ind w:leftChars="0" w:firstLine="530" w:firstLineChars="200"/>
        <w:textAlignment w:val="auto"/>
        <w:rPr>
          <w:rFonts w:hint="eastAsia" w:ascii="宋体" w:hAnsi="宋体" w:eastAsia="宋体" w:cs="宋体"/>
          <w:b/>
          <w:caps w:val="0"/>
          <w:snapToGrid w:val="0"/>
          <w:color w:val="auto"/>
          <w:spacing w:val="12"/>
          <w:kern w:val="0"/>
          <w:sz w:val="24"/>
          <w:szCs w:val="24"/>
          <w:highlight w:val="none"/>
          <w:lang w:val="en-US" w:eastAsia="zh-CN"/>
        </w:rPr>
      </w:pPr>
      <w:r>
        <w:rPr>
          <w:rFonts w:hint="eastAsia" w:ascii="宋体" w:hAnsi="宋体" w:eastAsia="宋体" w:cs="宋体"/>
          <w:b/>
          <w:caps w:val="0"/>
          <w:snapToGrid w:val="0"/>
          <w:color w:val="auto"/>
          <w:spacing w:val="12"/>
          <w:kern w:val="0"/>
          <w:sz w:val="24"/>
          <w:szCs w:val="24"/>
          <w:highlight w:val="none"/>
          <w:lang w:val="en-US" w:eastAsia="zh-CN"/>
        </w:rPr>
        <w:t>3、款项结算</w:t>
      </w:r>
    </w:p>
    <w:p w14:paraId="5B9CAEA3">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28" w:firstLineChars="200"/>
        <w:textAlignment w:val="auto"/>
        <w:rPr>
          <w:rFonts w:hint="eastAsia" w:ascii="宋体" w:hAnsi="宋体" w:eastAsia="宋体" w:cs="宋体"/>
          <w:b w:val="0"/>
          <w:bCs/>
          <w:caps w:val="0"/>
          <w:snapToGrid w:val="0"/>
          <w:color w:val="auto"/>
          <w:spacing w:val="12"/>
          <w:kern w:val="0"/>
          <w:sz w:val="24"/>
          <w:szCs w:val="24"/>
          <w:highlight w:val="none"/>
          <w:lang w:val="en-US" w:eastAsia="zh-CN"/>
        </w:rPr>
      </w:pPr>
      <w:r>
        <w:rPr>
          <w:rFonts w:hint="eastAsia" w:ascii="宋体" w:hAnsi="宋体" w:eastAsia="宋体" w:cs="宋体"/>
          <w:b w:val="0"/>
          <w:bCs/>
          <w:caps w:val="0"/>
          <w:snapToGrid w:val="0"/>
          <w:color w:val="auto"/>
          <w:spacing w:val="12"/>
          <w:kern w:val="0"/>
          <w:sz w:val="24"/>
          <w:szCs w:val="24"/>
          <w:highlight w:val="none"/>
          <w:lang w:val="en-US" w:eastAsia="zh-CN"/>
        </w:rPr>
        <w:t>3.1、付款方式：</w:t>
      </w:r>
      <w:r>
        <w:rPr>
          <w:rFonts w:hint="eastAsia" w:ascii="宋体" w:hAnsi="宋体" w:cs="宋体"/>
          <w:sz w:val="24"/>
          <w:szCs w:val="24"/>
          <w:u w:val="none"/>
          <w:vertAlign w:val="baseline"/>
          <w:lang w:val="en-US" w:eastAsia="zh-CN"/>
        </w:rPr>
        <w:t>货物安装调试完成</w:t>
      </w:r>
      <w:r>
        <w:rPr>
          <w:rFonts w:hint="eastAsia" w:ascii="宋体" w:hAnsi="宋体" w:eastAsia="宋体" w:cs="宋体"/>
          <w:color w:val="auto"/>
          <w:sz w:val="24"/>
          <w:szCs w:val="24"/>
          <w:highlight w:val="none"/>
          <w:lang w:val="en-US" w:eastAsia="zh-CN"/>
        </w:rPr>
        <w:t>并完成验收，</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向</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支付全额合同价款</w:t>
      </w:r>
      <w:r>
        <w:rPr>
          <w:rFonts w:hint="eastAsia" w:ascii="宋体" w:hAnsi="宋体" w:cs="宋体"/>
          <w:color w:val="auto"/>
          <w:sz w:val="24"/>
          <w:szCs w:val="24"/>
          <w:highlight w:val="none"/>
          <w:lang w:val="en-US" w:eastAsia="zh-CN"/>
        </w:rPr>
        <w:t>。</w:t>
      </w:r>
    </w:p>
    <w:p w14:paraId="4A3EDD7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28" w:firstLineChars="200"/>
        <w:textAlignment w:val="auto"/>
        <w:rPr>
          <w:rFonts w:hint="eastAsia" w:ascii="宋体" w:hAnsi="宋体" w:eastAsia="宋体" w:cs="宋体"/>
          <w:b w:val="0"/>
          <w:bCs/>
          <w:caps w:val="0"/>
          <w:snapToGrid w:val="0"/>
          <w:color w:val="auto"/>
          <w:spacing w:val="12"/>
          <w:kern w:val="0"/>
          <w:sz w:val="24"/>
          <w:szCs w:val="24"/>
          <w:highlight w:val="none"/>
          <w:lang w:val="en-US" w:eastAsia="zh-CN"/>
        </w:rPr>
      </w:pPr>
      <w:r>
        <w:rPr>
          <w:rFonts w:hint="eastAsia" w:ascii="宋体" w:hAnsi="宋体" w:eastAsia="宋体" w:cs="宋体"/>
          <w:b w:val="0"/>
          <w:bCs/>
          <w:caps w:val="0"/>
          <w:snapToGrid w:val="0"/>
          <w:color w:val="auto"/>
          <w:spacing w:val="12"/>
          <w:kern w:val="0"/>
          <w:sz w:val="24"/>
          <w:szCs w:val="24"/>
          <w:highlight w:val="none"/>
          <w:lang w:val="en-US" w:eastAsia="zh-CN"/>
        </w:rPr>
        <w:t>3.2、结算方式：</w:t>
      </w:r>
      <w:r>
        <w:rPr>
          <w:rFonts w:hint="eastAsia" w:ascii="宋体" w:hAnsi="宋体" w:eastAsia="宋体" w:cs="宋体"/>
          <w:b w:val="0"/>
          <w:bCs/>
          <w:color w:val="auto"/>
          <w:sz w:val="24"/>
          <w:szCs w:val="24"/>
          <w:lang w:val="en-US" w:eastAsia="zh-CN"/>
        </w:rPr>
        <w:t>甲方与乙方直接结算，发票直开甲方。</w:t>
      </w:r>
    </w:p>
    <w:p w14:paraId="55D93EF4">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28" w:firstLineChars="200"/>
        <w:textAlignment w:val="auto"/>
        <w:rPr>
          <w:rFonts w:hint="eastAsia" w:ascii="宋体" w:hAnsi="宋体" w:eastAsia="宋体" w:cs="宋体"/>
          <w:b w:val="0"/>
          <w:bCs/>
          <w:caps w:val="0"/>
          <w:snapToGrid w:val="0"/>
          <w:color w:val="auto"/>
          <w:spacing w:val="12"/>
          <w:kern w:val="0"/>
          <w:sz w:val="24"/>
          <w:szCs w:val="24"/>
          <w:highlight w:val="none"/>
          <w:lang w:val="en-US" w:eastAsia="zh-CN"/>
        </w:rPr>
      </w:pPr>
      <w:r>
        <w:rPr>
          <w:rFonts w:hint="eastAsia" w:ascii="宋体" w:hAnsi="宋体" w:eastAsia="宋体" w:cs="宋体"/>
          <w:b w:val="0"/>
          <w:bCs/>
          <w:caps w:val="0"/>
          <w:snapToGrid w:val="0"/>
          <w:color w:val="auto"/>
          <w:spacing w:val="12"/>
          <w:kern w:val="0"/>
          <w:sz w:val="24"/>
          <w:szCs w:val="24"/>
          <w:highlight w:val="none"/>
          <w:lang w:val="en-US" w:eastAsia="zh-CN"/>
        </w:rPr>
        <w:t>3.3、支付形式：银行转账。</w:t>
      </w:r>
    </w:p>
    <w:p w14:paraId="41F9F16F">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530" w:firstLineChars="200"/>
        <w:textAlignment w:val="auto"/>
        <w:rPr>
          <w:rFonts w:hint="eastAsia" w:ascii="宋体" w:hAnsi="宋体" w:eastAsia="宋体" w:cs="宋体"/>
          <w:b/>
          <w:bCs w:val="0"/>
          <w:caps w:val="0"/>
          <w:snapToGrid w:val="0"/>
          <w:color w:val="auto"/>
          <w:spacing w:val="12"/>
          <w:kern w:val="0"/>
          <w:sz w:val="24"/>
          <w:szCs w:val="24"/>
          <w:highlight w:val="none"/>
          <w:lang w:val="zh-CN" w:eastAsia="zh-CN"/>
        </w:rPr>
      </w:pPr>
      <w:r>
        <w:rPr>
          <w:rFonts w:hint="eastAsia" w:ascii="宋体" w:hAnsi="宋体" w:eastAsia="宋体" w:cs="宋体"/>
          <w:b/>
          <w:bCs w:val="0"/>
          <w:caps w:val="0"/>
          <w:snapToGrid w:val="0"/>
          <w:color w:val="auto"/>
          <w:spacing w:val="12"/>
          <w:kern w:val="0"/>
          <w:sz w:val="24"/>
          <w:szCs w:val="24"/>
          <w:highlight w:val="none"/>
          <w:lang w:val="en-US" w:eastAsia="zh-CN"/>
        </w:rPr>
        <w:t>4</w:t>
      </w:r>
      <w:r>
        <w:rPr>
          <w:rFonts w:hint="eastAsia" w:ascii="宋体" w:hAnsi="宋体" w:eastAsia="宋体" w:cs="宋体"/>
          <w:b/>
          <w:bCs w:val="0"/>
          <w:caps w:val="0"/>
          <w:snapToGrid w:val="0"/>
          <w:color w:val="auto"/>
          <w:spacing w:val="12"/>
          <w:kern w:val="0"/>
          <w:sz w:val="24"/>
          <w:szCs w:val="24"/>
          <w:highlight w:val="none"/>
          <w:lang w:val="zh-CN" w:eastAsia="zh-CN"/>
        </w:rPr>
        <w:t>、</w:t>
      </w:r>
      <w:r>
        <w:rPr>
          <w:rFonts w:hint="eastAsia" w:ascii="宋体" w:hAnsi="宋体" w:eastAsia="宋体" w:cs="宋体"/>
          <w:b/>
          <w:bCs w:val="0"/>
          <w:caps w:val="0"/>
          <w:snapToGrid w:val="0"/>
          <w:color w:val="auto"/>
          <w:spacing w:val="12"/>
          <w:kern w:val="0"/>
          <w:sz w:val="24"/>
          <w:szCs w:val="24"/>
          <w:highlight w:val="none"/>
          <w:lang w:val="en-US" w:eastAsia="zh-CN"/>
        </w:rPr>
        <w:t>交货</w:t>
      </w:r>
      <w:r>
        <w:rPr>
          <w:rFonts w:hint="eastAsia" w:ascii="宋体" w:hAnsi="宋体" w:eastAsia="宋体" w:cs="宋体"/>
          <w:b/>
          <w:bCs w:val="0"/>
          <w:caps w:val="0"/>
          <w:snapToGrid w:val="0"/>
          <w:color w:val="auto"/>
          <w:spacing w:val="12"/>
          <w:kern w:val="0"/>
          <w:sz w:val="24"/>
          <w:szCs w:val="24"/>
          <w:highlight w:val="none"/>
          <w:lang w:val="zh-CN" w:eastAsia="zh-CN"/>
        </w:rPr>
        <w:t>条件</w:t>
      </w:r>
    </w:p>
    <w:p w14:paraId="59F04F33">
      <w:pPr>
        <w:keepNext w:val="0"/>
        <w:keepLines w:val="0"/>
        <w:pageBreakBefore w:val="0"/>
        <w:widowControl w:val="0"/>
        <w:kinsoku/>
        <w:wordWrap/>
        <w:overflowPunct/>
        <w:topLinePunct w:val="0"/>
        <w:autoSpaceDE/>
        <w:autoSpaceDN/>
        <w:bidi w:val="0"/>
        <w:adjustRightInd w:val="0"/>
        <w:snapToGrid w:val="0"/>
        <w:spacing w:line="440" w:lineRule="exact"/>
        <w:ind w:firstLine="528" w:firstLineChars="200"/>
        <w:textAlignment w:val="auto"/>
        <w:rPr>
          <w:rFonts w:hint="eastAsia" w:ascii="宋体" w:hAnsi="宋体" w:eastAsia="宋体" w:cs="宋体"/>
          <w:caps w:val="0"/>
          <w:color w:val="auto"/>
          <w:spacing w:val="12"/>
          <w:sz w:val="24"/>
          <w:szCs w:val="24"/>
          <w:highlight w:val="none"/>
          <w:lang w:val="en-US" w:eastAsia="zh-CN"/>
        </w:rPr>
      </w:pPr>
      <w:r>
        <w:rPr>
          <w:rFonts w:hint="eastAsia" w:ascii="宋体" w:hAnsi="宋体" w:eastAsia="宋体" w:cs="宋体"/>
          <w:caps w:val="0"/>
          <w:color w:val="auto"/>
          <w:spacing w:val="12"/>
          <w:sz w:val="24"/>
          <w:szCs w:val="24"/>
          <w:highlight w:val="none"/>
          <w:lang w:val="en-US" w:eastAsia="zh-CN"/>
        </w:rPr>
        <w:t>4.1、交货地点：</w:t>
      </w:r>
      <w:r>
        <w:rPr>
          <w:rFonts w:hint="eastAsia" w:ascii="宋体" w:hAnsi="宋体" w:eastAsia="宋体" w:cs="宋体"/>
          <w:caps w:val="0"/>
          <w:color w:val="auto"/>
          <w:spacing w:val="12"/>
          <w:sz w:val="24"/>
          <w:szCs w:val="24"/>
          <w:highlight w:val="none"/>
          <w:u w:val="single"/>
          <w:lang w:val="en-US" w:eastAsia="zh-CN"/>
        </w:rPr>
        <w:t xml:space="preserve">               </w:t>
      </w:r>
    </w:p>
    <w:p w14:paraId="4881CAF3">
      <w:pPr>
        <w:keepNext w:val="0"/>
        <w:keepLines w:val="0"/>
        <w:pageBreakBefore w:val="0"/>
        <w:widowControl w:val="0"/>
        <w:kinsoku/>
        <w:wordWrap/>
        <w:overflowPunct/>
        <w:topLinePunct w:val="0"/>
        <w:autoSpaceDE/>
        <w:autoSpaceDN/>
        <w:bidi w:val="0"/>
        <w:adjustRightInd w:val="0"/>
        <w:snapToGrid w:val="0"/>
        <w:spacing w:line="440" w:lineRule="exact"/>
        <w:ind w:firstLine="528" w:firstLineChars="200"/>
        <w:textAlignment w:val="auto"/>
        <w:rPr>
          <w:rFonts w:hint="eastAsia" w:ascii="宋体" w:hAnsi="宋体" w:eastAsia="宋体" w:cs="宋体"/>
          <w:caps w:val="0"/>
          <w:color w:val="auto"/>
          <w:spacing w:val="12"/>
          <w:sz w:val="24"/>
          <w:szCs w:val="24"/>
          <w:highlight w:val="none"/>
          <w:u w:val="single"/>
          <w:lang w:val="en-US" w:eastAsia="zh-CN"/>
        </w:rPr>
      </w:pPr>
      <w:r>
        <w:rPr>
          <w:rFonts w:hint="eastAsia" w:ascii="宋体" w:hAnsi="宋体" w:eastAsia="宋体" w:cs="宋体"/>
          <w:caps w:val="0"/>
          <w:color w:val="auto"/>
          <w:spacing w:val="12"/>
          <w:sz w:val="24"/>
          <w:szCs w:val="24"/>
          <w:highlight w:val="none"/>
          <w:lang w:val="en-US" w:eastAsia="zh-CN"/>
        </w:rPr>
        <w:t>4.2、交货期：</w:t>
      </w:r>
      <w:r>
        <w:rPr>
          <w:rFonts w:hint="eastAsia" w:ascii="宋体" w:hAnsi="宋体" w:eastAsia="宋体" w:cs="宋体"/>
          <w:caps w:val="0"/>
          <w:color w:val="auto"/>
          <w:spacing w:val="12"/>
          <w:sz w:val="24"/>
          <w:szCs w:val="24"/>
          <w:highlight w:val="none"/>
          <w:u w:val="single"/>
          <w:lang w:val="en-US" w:eastAsia="zh-CN"/>
        </w:rPr>
        <w:t xml:space="preserve">                 </w:t>
      </w:r>
      <w:bookmarkStart w:id="0" w:name="_Toc497206298"/>
      <w:bookmarkStart w:id="1" w:name="_Toc2878"/>
      <w:bookmarkStart w:id="2" w:name="_Toc9437"/>
      <w:bookmarkStart w:id="3" w:name="_Toc497206188"/>
    </w:p>
    <w:p w14:paraId="26188D4F">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en-US" w:eastAsia="zh-CN"/>
        </w:rPr>
        <w:t>5</w:t>
      </w:r>
      <w:r>
        <w:rPr>
          <w:rFonts w:hint="eastAsia" w:ascii="宋体" w:hAnsi="宋体" w:eastAsia="宋体" w:cs="宋体"/>
          <w:b/>
          <w:bCs/>
          <w:color w:val="auto"/>
          <w:sz w:val="24"/>
          <w:szCs w:val="24"/>
          <w:lang w:val="zh-CN"/>
        </w:rPr>
        <w:t>、运输</w:t>
      </w:r>
    </w:p>
    <w:p w14:paraId="5499D913">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1、乙方负责所有货物的运输。确保货物安全、完整到达使用地点，运杂费用包含在总价内，包括货物从供货地点到使用地点的运输费、保险费、搬运费、安装调试费等。</w:t>
      </w:r>
    </w:p>
    <w:bookmarkEnd w:id="0"/>
    <w:bookmarkEnd w:id="1"/>
    <w:bookmarkEnd w:id="2"/>
    <w:bookmarkEnd w:id="3"/>
    <w:p w14:paraId="759BD819">
      <w:pPr>
        <w:keepNext w:val="0"/>
        <w:keepLines w:val="0"/>
        <w:pageBreakBefore w:val="0"/>
        <w:widowControl w:val="0"/>
        <w:kinsoku/>
        <w:wordWrap/>
        <w:overflowPunct/>
        <w:topLinePunct w:val="0"/>
        <w:autoSpaceDE w:val="0"/>
        <w:autoSpaceDN w:val="0"/>
        <w:bidi w:val="0"/>
        <w:adjustRightInd w:val="0"/>
        <w:spacing w:line="440" w:lineRule="exact"/>
        <w:ind w:right="0" w:firstLine="480" w:firstLineChars="200"/>
        <w:textAlignment w:val="auto"/>
        <w:outlineLvl w:val="0"/>
        <w:rPr>
          <w:rFonts w:hint="eastAsia" w:ascii="宋体" w:hAnsi="宋体" w:eastAsia="宋体" w:cs="宋体"/>
          <w:b w:val="0"/>
          <w:bCs w:val="0"/>
          <w:color w:val="auto"/>
          <w:sz w:val="24"/>
          <w:szCs w:val="24"/>
          <w:lang w:val="en-US" w:eastAsia="zh-CN"/>
        </w:rPr>
      </w:pPr>
      <w:bookmarkStart w:id="4" w:name="_Toc1477"/>
      <w:bookmarkStart w:id="5" w:name="_Toc497206299"/>
      <w:bookmarkStart w:id="6" w:name="_Toc497206189"/>
      <w:bookmarkStart w:id="7" w:name="_Toc24786"/>
      <w:bookmarkStart w:id="8" w:name="_Toc6728"/>
      <w:r>
        <w:rPr>
          <w:rFonts w:hint="eastAsia" w:ascii="宋体" w:hAnsi="宋体" w:eastAsia="宋体" w:cs="宋体"/>
          <w:b w:val="0"/>
          <w:bCs w:val="0"/>
          <w:color w:val="auto"/>
          <w:sz w:val="24"/>
          <w:szCs w:val="24"/>
          <w:lang w:val="en-US" w:eastAsia="zh-CN"/>
        </w:rPr>
        <w:t>5.2、运输方式由乙方自行选择，但必须保证按期交货。</w:t>
      </w:r>
      <w:bookmarkEnd w:id="4"/>
    </w:p>
    <w:p w14:paraId="24A4C531">
      <w:pPr>
        <w:keepNext w:val="0"/>
        <w:keepLines w:val="0"/>
        <w:pageBreakBefore w:val="0"/>
        <w:widowControl w:val="0"/>
        <w:kinsoku/>
        <w:wordWrap/>
        <w:overflowPunct/>
        <w:topLinePunct w:val="0"/>
        <w:autoSpaceDE w:val="0"/>
        <w:autoSpaceDN w:val="0"/>
        <w:bidi w:val="0"/>
        <w:adjustRightInd w:val="0"/>
        <w:spacing w:line="440" w:lineRule="exact"/>
        <w:ind w:right="0" w:firstLine="482" w:firstLineChars="200"/>
        <w:textAlignment w:val="auto"/>
        <w:outlineLvl w:val="0"/>
        <w:rPr>
          <w:rFonts w:hint="eastAsia" w:ascii="宋体" w:hAnsi="宋体" w:eastAsia="宋体" w:cs="宋体"/>
          <w:b/>
          <w:bCs/>
          <w:color w:val="auto"/>
          <w:sz w:val="24"/>
          <w:szCs w:val="24"/>
          <w:lang w:val="en-US" w:eastAsia="zh-CN"/>
        </w:rPr>
      </w:pPr>
      <w:bookmarkStart w:id="9" w:name="_Toc27155"/>
      <w:r>
        <w:rPr>
          <w:rFonts w:hint="eastAsia" w:ascii="宋体" w:hAnsi="宋体" w:eastAsia="宋体" w:cs="宋体"/>
          <w:b/>
          <w:bCs/>
          <w:color w:val="auto"/>
          <w:sz w:val="24"/>
          <w:szCs w:val="24"/>
          <w:lang w:val="en-US" w:eastAsia="zh-CN"/>
        </w:rPr>
        <w:t>6、质量保证</w:t>
      </w:r>
      <w:bookmarkEnd w:id="9"/>
    </w:p>
    <w:p w14:paraId="5210DD34">
      <w:pPr>
        <w:keepNext w:val="0"/>
        <w:keepLines w:val="0"/>
        <w:pageBreakBefore w:val="0"/>
        <w:widowControl w:val="0"/>
        <w:kinsoku/>
        <w:wordWrap/>
        <w:overflowPunct/>
        <w:topLinePunct w:val="0"/>
        <w:autoSpaceDE w:val="0"/>
        <w:autoSpaceDN w:val="0"/>
        <w:bidi w:val="0"/>
        <w:adjustRightInd w:val="0"/>
        <w:spacing w:line="440" w:lineRule="exact"/>
        <w:ind w:firstLine="480" w:firstLineChars="200"/>
        <w:textAlignment w:val="auto"/>
        <w:outlineLvl w:val="0"/>
        <w:rPr>
          <w:rFonts w:hint="eastAsia" w:ascii="宋体" w:hAnsi="宋体" w:eastAsia="宋体" w:cs="宋体"/>
          <w:b w:val="0"/>
          <w:bCs w:val="0"/>
          <w:color w:val="auto"/>
          <w:sz w:val="24"/>
          <w:szCs w:val="24"/>
          <w:lang w:val="en-US" w:eastAsia="zh-CN"/>
        </w:rPr>
      </w:pPr>
      <w:bookmarkStart w:id="10" w:name="_Toc7545"/>
      <w:r>
        <w:rPr>
          <w:rFonts w:hint="eastAsia" w:ascii="宋体" w:hAnsi="宋体" w:eastAsia="宋体" w:cs="宋体"/>
          <w:b w:val="0"/>
          <w:bCs w:val="0"/>
          <w:color w:val="auto"/>
          <w:sz w:val="24"/>
          <w:szCs w:val="24"/>
          <w:lang w:val="en-US" w:eastAsia="zh-CN"/>
        </w:rPr>
        <w:t>6.1、乙方提供货物必须是原品牌制造厂制造的最新工艺、生产的最新产品。</w:t>
      </w:r>
      <w:bookmarkEnd w:id="10"/>
    </w:p>
    <w:p w14:paraId="13F47F2B">
      <w:pPr>
        <w:keepNext w:val="0"/>
        <w:keepLines w:val="0"/>
        <w:pageBreakBefore w:val="0"/>
        <w:widowControl w:val="0"/>
        <w:kinsoku/>
        <w:wordWrap/>
        <w:overflowPunct/>
        <w:topLinePunct w:val="0"/>
        <w:autoSpaceDE w:val="0"/>
        <w:autoSpaceDN w:val="0"/>
        <w:bidi w:val="0"/>
        <w:adjustRightInd w:val="0"/>
        <w:spacing w:line="440" w:lineRule="exact"/>
        <w:ind w:firstLine="480" w:firstLineChars="200"/>
        <w:textAlignment w:val="auto"/>
        <w:outlineLvl w:val="0"/>
        <w:rPr>
          <w:rFonts w:hint="eastAsia" w:ascii="宋体" w:hAnsi="宋体" w:eastAsia="宋体" w:cs="宋体"/>
          <w:b w:val="0"/>
          <w:bCs w:val="0"/>
          <w:color w:val="auto"/>
          <w:sz w:val="24"/>
          <w:szCs w:val="24"/>
          <w:lang w:val="en-US" w:eastAsia="zh-CN"/>
        </w:rPr>
      </w:pPr>
      <w:bookmarkStart w:id="11" w:name="_Toc20808"/>
      <w:r>
        <w:rPr>
          <w:rFonts w:hint="eastAsia" w:ascii="宋体" w:hAnsi="宋体" w:eastAsia="宋体" w:cs="宋体"/>
          <w:b w:val="0"/>
          <w:bCs w:val="0"/>
          <w:color w:val="auto"/>
          <w:sz w:val="24"/>
          <w:szCs w:val="24"/>
          <w:lang w:val="en-US" w:eastAsia="zh-CN"/>
        </w:rPr>
        <w:t>6.2、所提供货物必须是经过办理正常手续的全新产品。</w:t>
      </w:r>
      <w:bookmarkEnd w:id="11"/>
    </w:p>
    <w:p w14:paraId="37C97E16">
      <w:pPr>
        <w:keepNext w:val="0"/>
        <w:keepLines w:val="0"/>
        <w:pageBreakBefore w:val="0"/>
        <w:widowControl w:val="0"/>
        <w:kinsoku/>
        <w:wordWrap/>
        <w:overflowPunct/>
        <w:topLinePunct w:val="0"/>
        <w:autoSpaceDE w:val="0"/>
        <w:autoSpaceDN w:val="0"/>
        <w:bidi w:val="0"/>
        <w:adjustRightInd w:val="0"/>
        <w:spacing w:line="440" w:lineRule="exact"/>
        <w:ind w:firstLine="480" w:firstLineChars="200"/>
        <w:textAlignment w:val="auto"/>
        <w:outlineLvl w:val="0"/>
        <w:rPr>
          <w:rFonts w:hint="eastAsia" w:ascii="宋体" w:hAnsi="宋体" w:eastAsia="宋体" w:cs="宋体"/>
          <w:b w:val="0"/>
          <w:bCs w:val="0"/>
          <w:color w:val="auto"/>
          <w:sz w:val="24"/>
          <w:szCs w:val="24"/>
          <w:lang w:val="en-US" w:eastAsia="zh-CN"/>
        </w:rPr>
      </w:pPr>
      <w:bookmarkStart w:id="12" w:name="_Toc16130"/>
      <w:r>
        <w:rPr>
          <w:rFonts w:hint="eastAsia" w:ascii="宋体" w:hAnsi="宋体" w:eastAsia="宋体" w:cs="宋体"/>
          <w:b w:val="0"/>
          <w:bCs w:val="0"/>
          <w:color w:val="auto"/>
          <w:sz w:val="24"/>
          <w:szCs w:val="24"/>
          <w:lang w:val="en-US" w:eastAsia="zh-CN"/>
        </w:rPr>
        <w:t>6.3、所供货物是经过国家法定检验、注册、准许市场销售的合法产品。</w:t>
      </w:r>
      <w:bookmarkEnd w:id="12"/>
    </w:p>
    <w:p w14:paraId="7D48C63B">
      <w:pPr>
        <w:keepNext w:val="0"/>
        <w:keepLines w:val="0"/>
        <w:pageBreakBefore w:val="0"/>
        <w:widowControl w:val="0"/>
        <w:kinsoku/>
        <w:wordWrap/>
        <w:overflowPunct/>
        <w:topLinePunct w:val="0"/>
        <w:autoSpaceDE w:val="0"/>
        <w:autoSpaceDN w:val="0"/>
        <w:bidi w:val="0"/>
        <w:adjustRightInd w:val="0"/>
        <w:spacing w:line="440" w:lineRule="exact"/>
        <w:ind w:firstLine="480" w:firstLineChars="200"/>
        <w:textAlignment w:val="auto"/>
        <w:outlineLvl w:val="0"/>
        <w:rPr>
          <w:rFonts w:hint="eastAsia" w:ascii="宋体" w:hAnsi="宋体" w:eastAsia="宋体" w:cs="宋体"/>
          <w:b w:val="0"/>
          <w:bCs w:val="0"/>
          <w:color w:val="auto"/>
          <w:sz w:val="24"/>
          <w:szCs w:val="24"/>
          <w:lang w:val="en-US" w:eastAsia="zh-CN"/>
        </w:rPr>
      </w:pPr>
      <w:bookmarkStart w:id="13" w:name="_Toc16592"/>
      <w:r>
        <w:rPr>
          <w:rFonts w:hint="eastAsia" w:ascii="宋体" w:hAnsi="宋体" w:eastAsia="宋体" w:cs="宋体"/>
          <w:b w:val="0"/>
          <w:bCs w:val="0"/>
          <w:color w:val="auto"/>
          <w:sz w:val="24"/>
          <w:szCs w:val="24"/>
          <w:lang w:val="en-US" w:eastAsia="zh-CN"/>
        </w:rPr>
        <w:t>6.4、货物性能稳定、具有较好的使用效果，质量保证措施完善，符合国家相应标准。</w:t>
      </w:r>
      <w:bookmarkEnd w:id="13"/>
    </w:p>
    <w:p w14:paraId="1CBED679">
      <w:pPr>
        <w:keepNext w:val="0"/>
        <w:keepLines w:val="0"/>
        <w:pageBreakBefore w:val="0"/>
        <w:widowControl w:val="0"/>
        <w:kinsoku/>
        <w:wordWrap/>
        <w:overflowPunct/>
        <w:topLinePunct w:val="0"/>
        <w:autoSpaceDE w:val="0"/>
        <w:autoSpaceDN w:val="0"/>
        <w:bidi w:val="0"/>
        <w:adjustRightInd w:val="0"/>
        <w:spacing w:line="440" w:lineRule="exact"/>
        <w:ind w:firstLine="480" w:firstLineChars="200"/>
        <w:textAlignment w:val="auto"/>
        <w:outlineLvl w:val="0"/>
        <w:rPr>
          <w:rFonts w:hint="eastAsia" w:ascii="宋体" w:hAnsi="宋体" w:eastAsia="宋体" w:cs="宋体"/>
          <w:b w:val="0"/>
          <w:bCs w:val="0"/>
          <w:color w:val="auto"/>
          <w:sz w:val="24"/>
          <w:szCs w:val="24"/>
          <w:lang w:val="en-US" w:eastAsia="zh-CN"/>
        </w:rPr>
      </w:pPr>
      <w:bookmarkStart w:id="14" w:name="_Toc26404"/>
      <w:r>
        <w:rPr>
          <w:rFonts w:hint="eastAsia" w:ascii="宋体" w:hAnsi="宋体" w:eastAsia="宋体" w:cs="宋体"/>
          <w:b w:val="0"/>
          <w:bCs w:val="0"/>
          <w:color w:val="auto"/>
          <w:sz w:val="24"/>
          <w:szCs w:val="24"/>
          <w:lang w:val="en-US" w:eastAsia="zh-CN"/>
        </w:rPr>
        <w:t>6.5、质保期：</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。质保期内免费上门维修、保养，终身维护，超出质保期后只收取成本费用。</w:t>
      </w:r>
      <w:bookmarkEnd w:id="14"/>
    </w:p>
    <w:bookmarkEnd w:id="5"/>
    <w:bookmarkEnd w:id="6"/>
    <w:bookmarkEnd w:id="7"/>
    <w:bookmarkEnd w:id="8"/>
    <w:p w14:paraId="087D2756">
      <w:pPr>
        <w:keepNext w:val="0"/>
        <w:keepLines w:val="0"/>
        <w:pageBreakBefore w:val="0"/>
        <w:widowControl w:val="0"/>
        <w:tabs>
          <w:tab w:val="left" w:pos="0"/>
        </w:tabs>
        <w:kinsoku/>
        <w:wordWrap/>
        <w:overflowPunct/>
        <w:topLinePunct w:val="0"/>
        <w:autoSpaceDE w:val="0"/>
        <w:autoSpaceDN w:val="0"/>
        <w:bidi w:val="0"/>
        <w:adjustRightInd w:val="0"/>
        <w:spacing w:line="440" w:lineRule="exact"/>
        <w:ind w:firstLine="482" w:firstLineChars="200"/>
        <w:textAlignment w:val="auto"/>
        <w:outlineLvl w:val="0"/>
        <w:rPr>
          <w:rFonts w:hint="eastAsia" w:ascii="宋体" w:hAnsi="宋体" w:eastAsia="宋体" w:cs="宋体"/>
          <w:b/>
          <w:bCs/>
          <w:color w:val="auto"/>
          <w:sz w:val="24"/>
          <w:szCs w:val="24"/>
        </w:rPr>
      </w:pPr>
      <w:bookmarkStart w:id="15" w:name="_Toc2783"/>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rPr>
        <w:t>、售后服务</w:t>
      </w:r>
      <w:bookmarkEnd w:id="15"/>
    </w:p>
    <w:p w14:paraId="6B3E5305">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7.1、</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en-US" w:eastAsia="zh-CN"/>
        </w:rPr>
        <w:t>必须具有完善的售后服务体系，高水平的技术维修人员和良好的设备备件供应能力。</w:t>
      </w:r>
    </w:p>
    <w:p w14:paraId="296AA1B7">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7.2、</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en-US" w:eastAsia="zh-CN"/>
        </w:rPr>
        <w:t>同意该产品自安装、调试、验收合格并正常使用之日起免费保修，在质保期内出现的任何质量问题，</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en-US" w:eastAsia="zh-CN"/>
        </w:rPr>
        <w:t>保证在接到</w:t>
      </w:r>
      <w:r>
        <w:rPr>
          <w:rFonts w:hint="eastAsia" w:ascii="宋体" w:hAnsi="宋体" w:cs="宋体"/>
          <w:color w:val="auto"/>
          <w:sz w:val="24"/>
          <w:szCs w:val="24"/>
          <w:lang w:val="en-US" w:eastAsia="zh-CN"/>
        </w:rPr>
        <w:t>甲方</w:t>
      </w:r>
      <w:r>
        <w:rPr>
          <w:rFonts w:hint="eastAsia" w:ascii="宋体" w:hAnsi="宋体" w:eastAsia="宋体" w:cs="宋体"/>
          <w:color w:val="auto"/>
          <w:sz w:val="24"/>
          <w:szCs w:val="24"/>
          <w:lang w:val="en-US" w:eastAsia="zh-CN"/>
        </w:rPr>
        <w:t>维修通知之日起24小时内派专业维修人员赶赴现场（即</w:t>
      </w:r>
      <w:r>
        <w:rPr>
          <w:rFonts w:hint="eastAsia" w:ascii="宋体" w:hAnsi="宋体" w:cs="宋体"/>
          <w:color w:val="auto"/>
          <w:sz w:val="24"/>
          <w:szCs w:val="24"/>
          <w:lang w:val="en-US" w:eastAsia="zh-CN"/>
        </w:rPr>
        <w:t>甲方</w:t>
      </w:r>
      <w:r>
        <w:rPr>
          <w:rFonts w:hint="eastAsia" w:ascii="宋体" w:hAnsi="宋体" w:eastAsia="宋体" w:cs="宋体"/>
          <w:color w:val="auto"/>
          <w:sz w:val="24"/>
          <w:szCs w:val="24"/>
          <w:lang w:val="en-US" w:eastAsia="zh-CN"/>
        </w:rPr>
        <w:t xml:space="preserve">指定地点）进行维修。     </w:t>
      </w:r>
    </w:p>
    <w:p w14:paraId="2FEB7FED">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7.3、质保期内，如经过两次维修后仍达不到此标准，</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en-US" w:eastAsia="zh-CN"/>
        </w:rPr>
        <w:t>应负责调换部分或整个产品设备，质保期作相应延长，并承担自产品出现故障之日起至产品再次正常运行使用之日期间给</w:t>
      </w:r>
      <w:r>
        <w:rPr>
          <w:rFonts w:hint="eastAsia" w:ascii="宋体" w:hAnsi="宋体" w:cs="宋体"/>
          <w:color w:val="auto"/>
          <w:sz w:val="24"/>
          <w:szCs w:val="24"/>
          <w:lang w:val="en-US" w:eastAsia="zh-CN"/>
        </w:rPr>
        <w:t>甲方</w:t>
      </w:r>
      <w:r>
        <w:rPr>
          <w:rFonts w:hint="eastAsia" w:ascii="宋体" w:hAnsi="宋体" w:eastAsia="宋体" w:cs="宋体"/>
          <w:color w:val="auto"/>
          <w:sz w:val="24"/>
          <w:szCs w:val="24"/>
          <w:lang w:val="en-US" w:eastAsia="zh-CN"/>
        </w:rPr>
        <w:t>造成的所有经济损失。若更换后产品还达不到此标准，</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en-US" w:eastAsia="zh-CN"/>
        </w:rPr>
        <w:t>应无条件退货，并承担给</w:t>
      </w:r>
      <w:r>
        <w:rPr>
          <w:rFonts w:hint="eastAsia" w:ascii="宋体" w:hAnsi="宋体" w:cs="宋体"/>
          <w:color w:val="auto"/>
          <w:sz w:val="24"/>
          <w:szCs w:val="24"/>
          <w:lang w:val="en-US" w:eastAsia="zh-CN"/>
        </w:rPr>
        <w:t>甲方</w:t>
      </w:r>
      <w:r>
        <w:rPr>
          <w:rFonts w:hint="eastAsia" w:ascii="宋体" w:hAnsi="宋体" w:eastAsia="宋体" w:cs="宋体"/>
          <w:color w:val="auto"/>
          <w:sz w:val="24"/>
          <w:szCs w:val="24"/>
          <w:lang w:val="en-US" w:eastAsia="zh-CN"/>
        </w:rPr>
        <w:t>造成的所有经济损失。</w:t>
      </w:r>
    </w:p>
    <w:p w14:paraId="1BD14B0B">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7.4、质保期内，维修费用、</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en-US" w:eastAsia="zh-CN"/>
        </w:rPr>
        <w:t>维修人员的差旅费及其他相关费用均由</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en-US" w:eastAsia="zh-CN"/>
        </w:rPr>
        <w:t>承担。</w:t>
      </w:r>
    </w:p>
    <w:p w14:paraId="4598CC16">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7.5、质保期满后，</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en-US" w:eastAsia="zh-CN"/>
        </w:rPr>
        <w:t>负责终身优质服务，检修更换的产品配置零件按标准报价的优惠价向</w:t>
      </w:r>
      <w:r>
        <w:rPr>
          <w:rFonts w:hint="eastAsia" w:ascii="宋体" w:hAnsi="宋体" w:cs="宋体"/>
          <w:color w:val="auto"/>
          <w:sz w:val="24"/>
          <w:szCs w:val="24"/>
          <w:lang w:val="en-US" w:eastAsia="zh-CN"/>
        </w:rPr>
        <w:t>甲方</w:t>
      </w:r>
      <w:r>
        <w:rPr>
          <w:rFonts w:hint="eastAsia" w:ascii="宋体" w:hAnsi="宋体" w:eastAsia="宋体" w:cs="宋体"/>
          <w:color w:val="auto"/>
          <w:sz w:val="24"/>
          <w:szCs w:val="24"/>
          <w:lang w:val="en-US" w:eastAsia="zh-CN"/>
        </w:rPr>
        <w:t>提供，免人工费、差旅费及工时费，只收取更换的零配件成本费。</w:t>
      </w:r>
    </w:p>
    <w:p w14:paraId="327485A5">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7.6、如因产品本身的隐蔽瑕疵而出现的质量问题，</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en-US" w:eastAsia="zh-CN"/>
        </w:rPr>
        <w:t>应全面负责维修调试或更新更换并承担全部费用。</w:t>
      </w:r>
    </w:p>
    <w:p w14:paraId="45DB2337">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7、</w:t>
      </w:r>
      <w:r>
        <w:rPr>
          <w:rFonts w:hint="eastAsia" w:ascii="宋体" w:hAnsi="宋体" w:cs="宋体"/>
          <w:color w:val="auto"/>
          <w:sz w:val="24"/>
          <w:szCs w:val="24"/>
          <w:lang w:val="en-US" w:eastAsia="zh-CN"/>
        </w:rPr>
        <w:t>乙方</w:t>
      </w:r>
      <w:r>
        <w:rPr>
          <w:rFonts w:hint="eastAsia" w:ascii="宋体" w:hAnsi="宋体" w:eastAsia="宋体" w:cs="宋体"/>
          <w:color w:val="auto"/>
          <w:sz w:val="24"/>
          <w:szCs w:val="24"/>
          <w:lang w:val="en-US" w:eastAsia="zh-CN"/>
        </w:rPr>
        <w:t>必须严格依据合同约定及</w:t>
      </w:r>
      <w:r>
        <w:rPr>
          <w:rFonts w:hint="eastAsia" w:ascii="宋体" w:hAnsi="宋体" w:cs="宋体"/>
          <w:color w:val="auto"/>
          <w:sz w:val="24"/>
          <w:szCs w:val="24"/>
          <w:lang w:val="en-US" w:eastAsia="zh-CN"/>
        </w:rPr>
        <w:t>投标</w:t>
      </w:r>
      <w:r>
        <w:rPr>
          <w:rFonts w:hint="eastAsia" w:ascii="宋体" w:hAnsi="宋体" w:eastAsia="宋体" w:cs="宋体"/>
          <w:color w:val="auto"/>
          <w:sz w:val="24"/>
          <w:szCs w:val="24"/>
          <w:lang w:val="en-US" w:eastAsia="zh-CN"/>
        </w:rPr>
        <w:t>文件中的售后服务承诺履行售后服务义务。</w:t>
      </w:r>
    </w:p>
    <w:p w14:paraId="3C361F6C">
      <w:pPr>
        <w:keepNext w:val="0"/>
        <w:keepLines w:val="0"/>
        <w:pageBreakBefore w:val="0"/>
        <w:widowControl w:val="0"/>
        <w:kinsoku/>
        <w:wordWrap/>
        <w:overflowPunct/>
        <w:topLinePunct w:val="0"/>
        <w:bidi w:val="0"/>
        <w:spacing w:line="44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8</w:t>
      </w:r>
      <w:r>
        <w:rPr>
          <w:rFonts w:hint="eastAsia" w:ascii="宋体" w:hAnsi="宋体" w:eastAsia="宋体" w:cs="宋体"/>
          <w:b/>
          <w:color w:val="auto"/>
          <w:sz w:val="24"/>
          <w:szCs w:val="24"/>
        </w:rPr>
        <w:t>、技术服务</w:t>
      </w:r>
    </w:p>
    <w:p w14:paraId="4AD413B1">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1、服务承诺：</w:t>
      </w:r>
      <w:r>
        <w:rPr>
          <w:rFonts w:hint="eastAsia" w:ascii="宋体" w:hAnsi="宋体" w:eastAsia="宋体" w:cs="宋体"/>
          <w:color w:val="auto"/>
          <w:sz w:val="24"/>
          <w:szCs w:val="24"/>
          <w:lang w:val="en-US" w:eastAsia="zh-CN"/>
        </w:rPr>
        <w:t>投标文件</w:t>
      </w:r>
      <w:r>
        <w:rPr>
          <w:rFonts w:hint="eastAsia" w:ascii="宋体" w:hAnsi="宋体" w:eastAsia="宋体" w:cs="宋体"/>
          <w:color w:val="auto"/>
          <w:sz w:val="24"/>
          <w:szCs w:val="24"/>
        </w:rPr>
        <w:t>中有明确且具体、切实可行的技术服务承诺。</w:t>
      </w:r>
    </w:p>
    <w:p w14:paraId="352521AD">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售后服务体系：</w:t>
      </w:r>
    </w:p>
    <w:p w14:paraId="7FEFEC83">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eastAsia="宋体" w:cs="宋体"/>
          <w:color w:val="auto"/>
          <w:sz w:val="24"/>
          <w:szCs w:val="24"/>
        </w:rPr>
        <w:t>提供本地区同类用户售后服务系统网络图、主要负责人的姓名、联系电话、营业场所详细地址。</w:t>
      </w:r>
    </w:p>
    <w:p w14:paraId="70C9DF02">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（2）</w:t>
      </w:r>
      <w:r>
        <w:rPr>
          <w:rFonts w:hint="eastAsia" w:ascii="宋体" w:hAnsi="宋体" w:eastAsia="宋体" w:cs="宋体"/>
          <w:color w:val="auto"/>
          <w:sz w:val="24"/>
          <w:szCs w:val="24"/>
        </w:rPr>
        <w:t>提供具体负责本用户的售后服务人员姓名、联系电话、联系地址。</w:t>
      </w:r>
    </w:p>
    <w:p w14:paraId="2018853B">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2、售后服务承诺：</w:t>
      </w:r>
    </w:p>
    <w:p w14:paraId="6218D5EA">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eastAsia="宋体" w:cs="宋体"/>
          <w:color w:val="auto"/>
          <w:sz w:val="24"/>
          <w:szCs w:val="24"/>
        </w:rPr>
        <w:t>发生故障后最短和最长的响应时间（以接到报修电话起至维修人员到达现场止所需时间）。</w:t>
      </w:r>
    </w:p>
    <w:p w14:paraId="6D086E54">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（2）</w:t>
      </w:r>
      <w:r>
        <w:rPr>
          <w:rFonts w:hint="eastAsia" w:ascii="宋体" w:hAnsi="宋体" w:eastAsia="宋体" w:cs="宋体"/>
          <w:color w:val="auto"/>
          <w:sz w:val="24"/>
          <w:szCs w:val="24"/>
        </w:rPr>
        <w:t>质量保修期间的承诺。</w:t>
      </w:r>
    </w:p>
    <w:p w14:paraId="20A064BD">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（3）</w:t>
      </w:r>
      <w:r>
        <w:rPr>
          <w:rFonts w:hint="eastAsia" w:ascii="宋体" w:hAnsi="宋体" w:eastAsia="宋体" w:cs="宋体"/>
          <w:color w:val="auto"/>
          <w:sz w:val="24"/>
          <w:szCs w:val="24"/>
        </w:rPr>
        <w:t>质量保修期后的承诺，包括常年维修服务的收费标准、易损零配件的价格表等。</w:t>
      </w:r>
    </w:p>
    <w:p w14:paraId="4A53F5D6">
      <w:pPr>
        <w:keepNext w:val="0"/>
        <w:keepLines w:val="0"/>
        <w:pageBreakBefore w:val="0"/>
        <w:widowControl w:val="0"/>
        <w:tabs>
          <w:tab w:val="left" w:pos="0"/>
        </w:tabs>
        <w:kinsoku/>
        <w:wordWrap/>
        <w:overflowPunct/>
        <w:topLinePunct w:val="0"/>
        <w:autoSpaceDE w:val="0"/>
        <w:autoSpaceDN w:val="0"/>
        <w:bidi w:val="0"/>
        <w:adjustRightInd w:val="0"/>
        <w:spacing w:line="440" w:lineRule="exact"/>
        <w:ind w:firstLine="482" w:firstLineChars="200"/>
        <w:textAlignment w:val="auto"/>
        <w:outlineLvl w:val="0"/>
        <w:rPr>
          <w:rFonts w:hint="eastAsia" w:ascii="宋体" w:hAnsi="宋体" w:eastAsia="宋体" w:cs="宋体"/>
          <w:b/>
          <w:bCs/>
          <w:color w:val="auto"/>
          <w:sz w:val="24"/>
          <w:szCs w:val="24"/>
          <w:lang w:val="zh-CN"/>
        </w:rPr>
      </w:pPr>
      <w:bookmarkStart w:id="16" w:name="_Toc14630"/>
      <w:bookmarkStart w:id="17" w:name="_Toc23707"/>
      <w:bookmarkStart w:id="18" w:name="_Toc4326"/>
      <w:bookmarkStart w:id="19" w:name="_Toc497206194"/>
      <w:bookmarkStart w:id="20" w:name="_Toc497206304"/>
      <w:bookmarkStart w:id="21" w:name="_Toc19897"/>
      <w:r>
        <w:rPr>
          <w:rFonts w:hint="eastAsia" w:ascii="宋体" w:hAnsi="宋体" w:eastAsia="宋体" w:cs="宋体"/>
          <w:b/>
          <w:bCs/>
          <w:color w:val="auto"/>
          <w:sz w:val="24"/>
          <w:szCs w:val="24"/>
          <w:lang w:val="en-US" w:eastAsia="zh-CN"/>
        </w:rPr>
        <w:t>9</w:t>
      </w:r>
      <w:r>
        <w:rPr>
          <w:rFonts w:hint="eastAsia" w:ascii="宋体" w:hAnsi="宋体" w:eastAsia="宋体" w:cs="宋体"/>
          <w:b/>
          <w:bCs/>
          <w:color w:val="auto"/>
          <w:sz w:val="24"/>
          <w:szCs w:val="24"/>
          <w:lang w:val="zh-CN"/>
        </w:rPr>
        <w:t>、验收</w:t>
      </w:r>
      <w:bookmarkEnd w:id="16"/>
      <w:bookmarkEnd w:id="17"/>
      <w:bookmarkEnd w:id="18"/>
      <w:bookmarkEnd w:id="19"/>
      <w:bookmarkEnd w:id="20"/>
      <w:bookmarkEnd w:id="21"/>
    </w:p>
    <w:p w14:paraId="0340746E">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rPr>
      </w:pPr>
      <w:bookmarkStart w:id="22" w:name="_Toc29166"/>
      <w:bookmarkStart w:id="23" w:name="_Toc25680"/>
      <w:bookmarkStart w:id="24" w:name="_Toc497206305"/>
      <w:bookmarkStart w:id="25" w:name="_Toc497206195"/>
      <w:r>
        <w:rPr>
          <w:rFonts w:hint="eastAsia" w:ascii="宋体" w:hAnsi="宋体" w:eastAsia="宋体" w:cs="宋体"/>
          <w:color w:val="auto"/>
          <w:sz w:val="24"/>
          <w:szCs w:val="24"/>
          <w:lang w:val="en-US" w:eastAsia="zh-CN"/>
        </w:rPr>
        <w:t>9.1</w:t>
      </w:r>
      <w:r>
        <w:rPr>
          <w:rFonts w:hint="eastAsia" w:ascii="宋体" w:hAnsi="宋体" w:eastAsia="宋体" w:cs="宋体"/>
          <w:color w:val="auto"/>
          <w:sz w:val="24"/>
          <w:szCs w:val="24"/>
        </w:rPr>
        <w:t>、到货验收：货物到货后，由</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与</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共同进行验收，验收内容包括外观、规格、数量、功能等与合同要求的一致性。</w:t>
      </w:r>
    </w:p>
    <w:p w14:paraId="0C6F0064">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2、货物运行验收：</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安装调试合格后，向</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提出验收申请，</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接到</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验收申请后组织验收（必要时可聘请相应专家或委托相应部门验收），验收合格后，出具使用验收合格证明。</w:t>
      </w:r>
    </w:p>
    <w:p w14:paraId="35957953">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3、最终验收：最终验收结果作为付款依据，</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填写验收单，并向</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提交实施过程中的所有资料，以便</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日后管理和维护。</w:t>
      </w:r>
    </w:p>
    <w:p w14:paraId="52102207">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4、质保期满后：由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出具质量报告，作为质保金支付依据，若存在质量问题，应按相应规定协商处理。</w:t>
      </w:r>
    </w:p>
    <w:p w14:paraId="7D3A148B">
      <w:pPr>
        <w:keepNext w:val="0"/>
        <w:keepLines w:val="0"/>
        <w:pageBreakBefore w:val="0"/>
        <w:widowControl w:val="0"/>
        <w:kinsoku/>
        <w:wordWrap/>
        <w:overflowPunct/>
        <w:topLinePunct w:val="0"/>
        <w:autoSpaceDE/>
        <w:autoSpaceDN/>
        <w:bidi w:val="0"/>
        <w:adjustRightInd/>
        <w:snapToGrid w:val="0"/>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5、验收依据：</w:t>
      </w:r>
    </w:p>
    <w:p w14:paraId="50548E97">
      <w:pPr>
        <w:keepNext w:val="0"/>
        <w:keepLines w:val="0"/>
        <w:pageBreakBefore w:val="0"/>
        <w:widowControl w:val="0"/>
        <w:kinsoku/>
        <w:wordWrap/>
        <w:overflowPunct/>
        <w:topLinePunct w:val="0"/>
        <w:autoSpaceDE/>
        <w:autoSpaceDN/>
        <w:bidi w:val="0"/>
        <w:adjustRightInd/>
        <w:snapToGrid w:val="0"/>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合同文本、合同附件、</w:t>
      </w:r>
      <w:r>
        <w:rPr>
          <w:rFonts w:hint="eastAsia" w:ascii="宋体" w:hAnsi="宋体" w:cs="宋体"/>
          <w:color w:val="auto"/>
          <w:sz w:val="24"/>
          <w:szCs w:val="24"/>
          <w:lang w:val="en-US" w:eastAsia="zh-CN"/>
        </w:rPr>
        <w:t>竞争性谈判</w:t>
      </w:r>
      <w:r>
        <w:rPr>
          <w:rFonts w:hint="eastAsia" w:ascii="宋体" w:hAnsi="宋体" w:eastAsia="宋体" w:cs="宋体"/>
          <w:color w:val="auto"/>
          <w:sz w:val="24"/>
          <w:szCs w:val="24"/>
          <w:lang w:val="zh-CN"/>
        </w:rPr>
        <w:t>文件</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竞争性谈判响应</w:t>
      </w:r>
      <w:r>
        <w:rPr>
          <w:rFonts w:hint="eastAsia" w:ascii="宋体" w:hAnsi="宋体" w:eastAsia="宋体" w:cs="宋体"/>
          <w:color w:val="auto"/>
          <w:sz w:val="24"/>
          <w:szCs w:val="24"/>
        </w:rPr>
        <w:t>文件。</w:t>
      </w:r>
    </w:p>
    <w:p w14:paraId="42D68D24">
      <w:pPr>
        <w:keepNext w:val="0"/>
        <w:keepLines w:val="0"/>
        <w:pageBreakBefore w:val="0"/>
        <w:widowControl w:val="0"/>
        <w:kinsoku/>
        <w:wordWrap/>
        <w:overflowPunct/>
        <w:topLinePunct w:val="0"/>
        <w:autoSpaceDE/>
        <w:autoSpaceDN/>
        <w:bidi w:val="0"/>
        <w:adjustRightInd/>
        <w:snapToGrid w:val="0"/>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国内相应的标准、规范。</w:t>
      </w:r>
    </w:p>
    <w:p w14:paraId="50FB808B">
      <w:pPr>
        <w:keepNext w:val="0"/>
        <w:keepLines w:val="0"/>
        <w:pageBreakBefore w:val="0"/>
        <w:widowControl w:val="0"/>
        <w:kinsoku/>
        <w:wordWrap/>
        <w:overflowPunct/>
        <w:topLinePunct w:val="0"/>
        <w:autoSpaceDE/>
        <w:autoSpaceDN/>
        <w:bidi w:val="0"/>
        <w:adjustRightInd/>
        <w:snapToGrid w:val="0"/>
        <w:spacing w:line="440" w:lineRule="exact"/>
        <w:ind w:left="0" w:leftChars="0" w:firstLine="480" w:firstLineChars="200"/>
        <w:textAlignment w:val="auto"/>
        <w:rPr>
          <w:color w:val="auto"/>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产品验收清单（注明各部件的品名、数量、规格型号和原产地或生产厂家）。</w:t>
      </w:r>
    </w:p>
    <w:p w14:paraId="2BDACB6F">
      <w:pPr>
        <w:keepNext w:val="0"/>
        <w:keepLines w:val="0"/>
        <w:pageBreakBefore w:val="0"/>
        <w:widowControl w:val="0"/>
        <w:kinsoku/>
        <w:wordWrap/>
        <w:overflowPunct/>
        <w:topLinePunct w:val="0"/>
        <w:autoSpaceDE/>
        <w:autoSpaceDN/>
        <w:bidi w:val="0"/>
        <w:adjustRightInd/>
        <w:spacing w:line="440" w:lineRule="exact"/>
        <w:ind w:left="0" w:leftChars="0" w:firstLine="480" w:firstLineChars="200"/>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9.6验收标准</w:t>
      </w:r>
    </w:p>
    <w:p w14:paraId="77CB15B7">
      <w:pPr>
        <w:keepNext w:val="0"/>
        <w:keepLines w:val="0"/>
        <w:pageBreakBefore w:val="0"/>
        <w:widowControl w:val="0"/>
        <w:kinsoku/>
        <w:wordWrap/>
        <w:overflowPunct/>
        <w:topLinePunct w:val="0"/>
        <w:autoSpaceDE/>
        <w:autoSpaceDN/>
        <w:bidi w:val="0"/>
        <w:adjustRightIn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（1）所供产品的规格、数量符合</w:t>
      </w:r>
      <w:r>
        <w:rPr>
          <w:rFonts w:hint="eastAsia" w:ascii="宋体" w:hAnsi="宋体" w:cs="宋体"/>
          <w:color w:val="auto"/>
          <w:sz w:val="24"/>
          <w:szCs w:val="24"/>
          <w:lang w:val="en-US" w:eastAsia="zh-CN"/>
        </w:rPr>
        <w:t>采购文件</w:t>
      </w:r>
      <w:r>
        <w:rPr>
          <w:rFonts w:hint="eastAsia" w:ascii="宋体" w:hAnsi="宋体" w:eastAsia="宋体" w:cs="宋体"/>
          <w:color w:val="auto"/>
          <w:sz w:val="24"/>
          <w:szCs w:val="24"/>
          <w:lang w:val="en-US" w:eastAsia="zh-CN"/>
        </w:rPr>
        <w:t>、乙方投标承诺及采购合同约定的要求。</w:t>
      </w:r>
    </w:p>
    <w:p w14:paraId="5DCAC80D">
      <w:pPr>
        <w:keepNext w:val="0"/>
        <w:keepLines w:val="0"/>
        <w:pageBreakBefore w:val="0"/>
        <w:widowControl w:val="0"/>
        <w:kinsoku/>
        <w:wordWrap/>
        <w:overflowPunct/>
        <w:topLinePunct w:val="0"/>
        <w:autoSpaceDE/>
        <w:autoSpaceDN/>
        <w:bidi w:val="0"/>
        <w:adjustRightIn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（2）所有产品均已运输至指定地点，并安装调试完毕。</w:t>
      </w:r>
    </w:p>
    <w:p w14:paraId="38D19F75">
      <w:pPr>
        <w:keepNext w:val="0"/>
        <w:keepLines w:val="0"/>
        <w:pageBreakBefore w:val="0"/>
        <w:widowControl w:val="0"/>
        <w:kinsoku/>
        <w:wordWrap/>
        <w:overflowPunct/>
        <w:topLinePunct w:val="0"/>
        <w:bidi w:val="0"/>
        <w:spacing w:line="44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（3）乙方投标承诺及采购合同约定的附件、工具、技术资料等齐全；提供产品使用说明书、合格证。</w:t>
      </w:r>
    </w:p>
    <w:p w14:paraId="2E12E7E8">
      <w:pPr>
        <w:keepNext w:val="0"/>
        <w:keepLines w:val="0"/>
        <w:pageBreakBefore w:val="0"/>
        <w:widowControl w:val="0"/>
        <w:kinsoku/>
        <w:wordWrap/>
        <w:overflowPunct/>
        <w:topLinePunct w:val="0"/>
        <w:bidi w:val="0"/>
        <w:spacing w:line="440" w:lineRule="exact"/>
        <w:ind w:firstLine="482" w:firstLineChars="200"/>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sz w:val="24"/>
          <w:szCs w:val="24"/>
          <w:lang w:val="en-US" w:eastAsia="zh-CN"/>
        </w:rPr>
        <w:t>10</w:t>
      </w:r>
      <w:r>
        <w:rPr>
          <w:rFonts w:hint="eastAsia" w:ascii="宋体" w:hAnsi="宋体" w:eastAsia="宋体" w:cs="宋体"/>
          <w:b/>
          <w:bCs/>
          <w:color w:val="auto"/>
          <w:sz w:val="24"/>
          <w:szCs w:val="24"/>
          <w:lang w:val="zh-CN"/>
        </w:rPr>
        <w:t>、</w:t>
      </w:r>
      <w:r>
        <w:rPr>
          <w:rFonts w:hint="eastAsia" w:ascii="宋体" w:hAnsi="宋体" w:eastAsia="宋体" w:cs="宋体"/>
          <w:b/>
          <w:bCs/>
          <w:color w:val="auto"/>
          <w:kern w:val="0"/>
          <w:sz w:val="24"/>
          <w:szCs w:val="24"/>
        </w:rPr>
        <w:t>权利与义务</w:t>
      </w:r>
      <w:bookmarkStart w:id="26" w:name="_Toc468550424"/>
      <w:bookmarkStart w:id="27" w:name="_Toc465511163"/>
      <w:bookmarkStart w:id="28" w:name="_Toc465511118"/>
      <w:bookmarkStart w:id="29" w:name="_Toc465510860"/>
      <w:bookmarkStart w:id="30" w:name="_Toc466270652"/>
      <w:bookmarkStart w:id="31" w:name="_Toc476761655"/>
    </w:p>
    <w:bookmarkEnd w:id="26"/>
    <w:bookmarkEnd w:id="27"/>
    <w:bookmarkEnd w:id="28"/>
    <w:bookmarkEnd w:id="29"/>
    <w:bookmarkEnd w:id="30"/>
    <w:bookmarkEnd w:id="31"/>
    <w:p w14:paraId="48594D7B">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kern w:val="0"/>
          <w:sz w:val="24"/>
          <w:szCs w:val="24"/>
        </w:rPr>
      </w:pPr>
      <w:bookmarkStart w:id="32" w:name="_Toc29895"/>
      <w:r>
        <w:rPr>
          <w:rFonts w:hint="eastAsia" w:ascii="宋体" w:hAnsi="宋体" w:cs="宋体"/>
          <w:color w:val="auto"/>
          <w:kern w:val="0"/>
          <w:sz w:val="24"/>
          <w:szCs w:val="24"/>
          <w:lang w:val="en-US" w:eastAsia="zh-CN"/>
        </w:rPr>
        <w:t>10.</w:t>
      </w:r>
      <w:r>
        <w:rPr>
          <w:rFonts w:hint="eastAsia" w:ascii="宋体" w:hAnsi="宋体" w:cs="宋体"/>
          <w:color w:val="auto"/>
          <w:kern w:val="0"/>
          <w:sz w:val="24"/>
          <w:szCs w:val="24"/>
        </w:rPr>
        <w:t>1、甲方的权利与义务</w:t>
      </w:r>
    </w:p>
    <w:p w14:paraId="40F4FAD6">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（1）甲方有权要求</w:t>
      </w:r>
      <w:r>
        <w:rPr>
          <w:rFonts w:hint="eastAsia" w:ascii="宋体" w:hAnsi="宋体" w:cs="宋体"/>
          <w:color w:val="auto"/>
          <w:kern w:val="28"/>
          <w:sz w:val="24"/>
          <w:szCs w:val="24"/>
        </w:rPr>
        <w:t>乙方供货的项目内容符合国家相关规范，符合国家验收标准，能够通过国家验收。</w:t>
      </w:r>
    </w:p>
    <w:p w14:paraId="7D396515">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（2）</w:t>
      </w:r>
      <w:r>
        <w:rPr>
          <w:rFonts w:hint="eastAsia" w:ascii="宋体" w:hAnsi="宋体" w:cs="宋体"/>
          <w:color w:val="auto"/>
          <w:kern w:val="28"/>
          <w:sz w:val="24"/>
          <w:szCs w:val="24"/>
        </w:rPr>
        <w:t>甲方有权要求乙方配合甲方完成所采购项目内容的预验收工作以及正式验收工作。</w:t>
      </w:r>
    </w:p>
    <w:p w14:paraId="2A68EEB4">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（3）</w:t>
      </w:r>
      <w:r>
        <w:rPr>
          <w:rFonts w:hint="eastAsia" w:ascii="宋体" w:hAnsi="宋体" w:cs="宋体"/>
          <w:color w:val="auto"/>
          <w:kern w:val="28"/>
          <w:sz w:val="24"/>
          <w:szCs w:val="24"/>
        </w:rPr>
        <w:t>甲方有权要求乙方提供的产品所涉及的第三方权利进行免责。</w:t>
      </w:r>
    </w:p>
    <w:p w14:paraId="617DCC7F">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（4）</w:t>
      </w:r>
      <w:r>
        <w:rPr>
          <w:rFonts w:hint="eastAsia" w:ascii="宋体" w:hAnsi="宋体" w:cs="宋体"/>
          <w:color w:val="auto"/>
          <w:kern w:val="28"/>
          <w:sz w:val="24"/>
          <w:szCs w:val="24"/>
        </w:rPr>
        <w:t>甲方有义务保证按合同所规定的内容及时间支付乙方相关费用。</w:t>
      </w:r>
    </w:p>
    <w:p w14:paraId="3BB746C1">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5</w:t>
      </w:r>
      <w:r>
        <w:rPr>
          <w:rFonts w:hint="eastAsia" w:ascii="宋体" w:hAnsi="宋体" w:cs="宋体"/>
          <w:color w:val="auto"/>
          <w:kern w:val="0"/>
          <w:sz w:val="24"/>
          <w:szCs w:val="24"/>
        </w:rPr>
        <w:t>）</w:t>
      </w:r>
      <w:r>
        <w:rPr>
          <w:rFonts w:hint="eastAsia" w:ascii="宋体" w:hAnsi="宋体" w:cs="宋体"/>
          <w:color w:val="auto"/>
          <w:kern w:val="28"/>
          <w:sz w:val="24"/>
          <w:szCs w:val="24"/>
        </w:rPr>
        <w:t>协调乙方供货时与其他单位的关系。</w:t>
      </w:r>
    </w:p>
    <w:p w14:paraId="1941046C">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6</w:t>
      </w:r>
      <w:r>
        <w:rPr>
          <w:rFonts w:hint="eastAsia" w:ascii="宋体" w:hAnsi="宋体" w:cs="宋体"/>
          <w:color w:val="auto"/>
          <w:kern w:val="0"/>
          <w:sz w:val="24"/>
          <w:szCs w:val="24"/>
        </w:rPr>
        <w:t>）</w:t>
      </w:r>
      <w:r>
        <w:rPr>
          <w:rFonts w:hint="eastAsia" w:ascii="宋体" w:hAnsi="宋体" w:cs="宋体"/>
          <w:color w:val="auto"/>
          <w:kern w:val="28"/>
          <w:sz w:val="24"/>
          <w:szCs w:val="24"/>
        </w:rPr>
        <w:t>乙方不能按甲方要求及时供货，甲方有单方解除合同的权利。解除合同的同时，甲方有权利与评审报告中排名第二的</w:t>
      </w:r>
      <w:r>
        <w:rPr>
          <w:rFonts w:hint="eastAsia" w:ascii="宋体" w:hAnsi="宋体" w:cs="宋体"/>
          <w:color w:val="auto"/>
          <w:kern w:val="28"/>
          <w:sz w:val="24"/>
          <w:szCs w:val="24"/>
          <w:lang w:eastAsia="zh-CN"/>
        </w:rPr>
        <w:t>乙方</w:t>
      </w:r>
      <w:r>
        <w:rPr>
          <w:rFonts w:hint="eastAsia" w:ascii="宋体" w:hAnsi="宋体" w:cs="宋体"/>
          <w:color w:val="auto"/>
          <w:kern w:val="28"/>
          <w:sz w:val="24"/>
          <w:szCs w:val="24"/>
        </w:rPr>
        <w:t>签订新的供货合同。</w:t>
      </w:r>
    </w:p>
    <w:p w14:paraId="66CCB72B">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w:t>
      </w:r>
      <w:r>
        <w:rPr>
          <w:rFonts w:hint="eastAsia" w:ascii="宋体" w:hAnsi="宋体" w:cs="宋体"/>
          <w:color w:val="auto"/>
          <w:kern w:val="28"/>
          <w:sz w:val="24"/>
          <w:szCs w:val="24"/>
        </w:rPr>
        <w:t>因乙方原因供货延误，给甲方造成损失或被第三方要求索赔的，乙方应全额承担。</w:t>
      </w:r>
      <w:bookmarkStart w:id="33" w:name="_Toc465511164"/>
      <w:bookmarkStart w:id="34" w:name="_Toc468550425"/>
      <w:bookmarkStart w:id="35" w:name="_Toc466270653"/>
      <w:bookmarkStart w:id="36" w:name="_Toc476761656"/>
      <w:bookmarkStart w:id="37" w:name="_Toc465510861"/>
      <w:bookmarkStart w:id="38" w:name="_Toc465511119"/>
    </w:p>
    <w:p w14:paraId="44498C43">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28"/>
          <w:sz w:val="24"/>
          <w:szCs w:val="24"/>
          <w:lang w:val="en-US" w:eastAsia="zh-CN"/>
        </w:rPr>
        <w:t>10.</w:t>
      </w:r>
      <w:r>
        <w:rPr>
          <w:rFonts w:hint="eastAsia" w:ascii="宋体" w:hAnsi="宋体" w:cs="宋体"/>
          <w:color w:val="auto"/>
          <w:kern w:val="28"/>
          <w:sz w:val="24"/>
          <w:szCs w:val="24"/>
        </w:rPr>
        <w:t>2、乙方的权利与义务</w:t>
      </w:r>
      <w:bookmarkEnd w:id="33"/>
      <w:bookmarkEnd w:id="34"/>
      <w:bookmarkEnd w:id="35"/>
      <w:bookmarkEnd w:id="36"/>
      <w:bookmarkEnd w:id="37"/>
      <w:bookmarkEnd w:id="38"/>
    </w:p>
    <w:p w14:paraId="64D5F31D">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（1）</w:t>
      </w:r>
      <w:r>
        <w:rPr>
          <w:rFonts w:hint="eastAsia" w:ascii="宋体" w:hAnsi="宋体" w:cs="宋体"/>
          <w:color w:val="auto"/>
          <w:kern w:val="28"/>
          <w:sz w:val="24"/>
          <w:szCs w:val="24"/>
        </w:rPr>
        <w:t>乙方应</w:t>
      </w:r>
      <w:r>
        <w:rPr>
          <w:rFonts w:hint="eastAsia" w:ascii="宋体" w:hAnsi="宋体" w:cs="宋体"/>
          <w:color w:val="auto"/>
          <w:sz w:val="24"/>
          <w:szCs w:val="24"/>
        </w:rPr>
        <w:t>按本合同的规定供货，并保证产品质量。</w:t>
      </w:r>
    </w:p>
    <w:p w14:paraId="0190DDCF">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（2）</w:t>
      </w:r>
      <w:r>
        <w:rPr>
          <w:rFonts w:hint="eastAsia" w:ascii="宋体" w:hAnsi="宋体" w:cs="宋体"/>
          <w:color w:val="auto"/>
          <w:kern w:val="28"/>
          <w:sz w:val="24"/>
          <w:szCs w:val="24"/>
        </w:rPr>
        <w:t>乙方有义务配合甲方参与项目的预验收、正式竣工验收工作，并确保所供货物符合本项目国家现行标准。</w:t>
      </w:r>
    </w:p>
    <w:p w14:paraId="538C18C5">
      <w:pPr>
        <w:pStyle w:val="7"/>
        <w:keepNext w:val="0"/>
        <w:keepLines w:val="0"/>
        <w:pageBreakBefore w:val="0"/>
        <w:widowControl w:val="0"/>
        <w:kinsoku/>
        <w:wordWrap/>
        <w:overflowPunct/>
        <w:topLinePunct w:val="0"/>
        <w:autoSpaceDN w:val="0"/>
        <w:bidi w:val="0"/>
        <w:spacing w:line="44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3</w:t>
      </w:r>
      <w:r>
        <w:rPr>
          <w:rFonts w:hint="eastAsia" w:ascii="宋体" w:hAnsi="宋体" w:cs="宋体"/>
          <w:color w:val="auto"/>
          <w:kern w:val="0"/>
          <w:sz w:val="24"/>
          <w:szCs w:val="24"/>
        </w:rPr>
        <w:t>）</w:t>
      </w:r>
      <w:r>
        <w:rPr>
          <w:rFonts w:hint="eastAsia" w:ascii="宋体" w:hAnsi="宋体" w:cs="宋体"/>
          <w:color w:val="auto"/>
          <w:sz w:val="24"/>
          <w:szCs w:val="24"/>
        </w:rPr>
        <w:t>乙方产品进场时应充分了解甲方的现场各项管理标准文件，并在进场后全面服从甲方的管理制度、管理细则等。</w:t>
      </w:r>
    </w:p>
    <w:p w14:paraId="326418EA">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5</w:t>
      </w:r>
      <w:r>
        <w:rPr>
          <w:rFonts w:hint="eastAsia" w:ascii="宋体" w:hAnsi="宋体" w:cs="宋体"/>
          <w:color w:val="auto"/>
          <w:kern w:val="0"/>
          <w:sz w:val="24"/>
          <w:szCs w:val="24"/>
        </w:rPr>
        <w:t>）</w:t>
      </w:r>
      <w:r>
        <w:rPr>
          <w:rFonts w:hint="eastAsia" w:ascii="宋体" w:hAnsi="宋体" w:cs="宋体"/>
          <w:color w:val="auto"/>
          <w:sz w:val="24"/>
          <w:szCs w:val="24"/>
        </w:rPr>
        <w:t>按甲方指定地点将货物放整齐，及时清运过程中产生的垃圾，保持现场整洁。</w:t>
      </w:r>
    </w:p>
    <w:p w14:paraId="3CECD639">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6</w:t>
      </w:r>
      <w:r>
        <w:rPr>
          <w:rFonts w:hint="eastAsia" w:ascii="宋体" w:hAnsi="宋体" w:cs="宋体"/>
          <w:color w:val="auto"/>
          <w:kern w:val="0"/>
          <w:sz w:val="24"/>
          <w:szCs w:val="24"/>
        </w:rPr>
        <w:t>）</w:t>
      </w:r>
      <w:r>
        <w:rPr>
          <w:rFonts w:hint="eastAsia" w:ascii="宋体" w:hAnsi="宋体" w:cs="宋体"/>
          <w:color w:val="auto"/>
          <w:sz w:val="24"/>
          <w:szCs w:val="24"/>
        </w:rPr>
        <w:t>在货物验收时，向</w:t>
      </w:r>
      <w:r>
        <w:rPr>
          <w:rFonts w:hint="eastAsia" w:ascii="宋体" w:hAnsi="宋体" w:cs="宋体"/>
          <w:color w:val="auto"/>
          <w:sz w:val="24"/>
          <w:szCs w:val="24"/>
          <w:lang w:val="en-US" w:eastAsia="zh-CN"/>
        </w:rPr>
        <w:t>甲方</w:t>
      </w:r>
      <w:r>
        <w:rPr>
          <w:rFonts w:hint="eastAsia" w:ascii="宋体" w:hAnsi="宋体" w:cs="宋体"/>
          <w:color w:val="auto"/>
          <w:sz w:val="24"/>
          <w:szCs w:val="24"/>
        </w:rPr>
        <w:t>提供</w:t>
      </w:r>
      <w:r>
        <w:rPr>
          <w:rFonts w:hint="eastAsia" w:ascii="宋体" w:hAnsi="宋体" w:cs="宋体"/>
          <w:color w:val="auto"/>
          <w:sz w:val="24"/>
          <w:szCs w:val="24"/>
          <w:lang w:val="en-US" w:eastAsia="zh-CN"/>
        </w:rPr>
        <w:t>货物检测报告</w:t>
      </w:r>
      <w:r>
        <w:rPr>
          <w:rFonts w:hint="eastAsia" w:ascii="宋体" w:hAnsi="宋体" w:cs="宋体"/>
          <w:color w:val="auto"/>
          <w:sz w:val="24"/>
          <w:szCs w:val="24"/>
        </w:rPr>
        <w:t>等</w:t>
      </w:r>
      <w:r>
        <w:rPr>
          <w:rFonts w:hint="eastAsia" w:ascii="宋体" w:hAnsi="宋体" w:cs="宋体"/>
          <w:color w:val="auto"/>
          <w:sz w:val="24"/>
          <w:szCs w:val="24"/>
          <w:lang w:val="en-US" w:eastAsia="zh-CN"/>
        </w:rPr>
        <w:t>材料</w:t>
      </w:r>
      <w:r>
        <w:rPr>
          <w:rFonts w:hint="eastAsia" w:ascii="宋体" w:hAnsi="宋体" w:cs="宋体"/>
          <w:color w:val="auto"/>
          <w:sz w:val="24"/>
          <w:szCs w:val="24"/>
        </w:rPr>
        <w:t>。</w:t>
      </w:r>
    </w:p>
    <w:p w14:paraId="16F81120">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w:t>
      </w:r>
      <w:r>
        <w:rPr>
          <w:rFonts w:hint="eastAsia" w:ascii="宋体" w:hAnsi="宋体" w:cs="宋体"/>
          <w:color w:val="auto"/>
          <w:sz w:val="24"/>
          <w:szCs w:val="24"/>
        </w:rPr>
        <w:t>项目中所涉及的所有相关政府部门审批手续全部由乙方协调办理，且支付相关费用，甲方不再办理其相关手续及支付相关费用。</w:t>
      </w:r>
    </w:p>
    <w:p w14:paraId="7C14CB1D">
      <w:pPr>
        <w:keepNext w:val="0"/>
        <w:keepLines w:val="0"/>
        <w:pageBreakBefore w:val="0"/>
        <w:widowControl w:val="0"/>
        <w:kinsoku/>
        <w:wordWrap/>
        <w:overflowPunct/>
        <w:topLinePunct w:val="0"/>
        <w:bidi w:val="0"/>
        <w:spacing w:line="44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（9）</w:t>
      </w:r>
      <w:r>
        <w:rPr>
          <w:rFonts w:hint="eastAsia" w:ascii="宋体" w:hAnsi="宋体" w:cs="宋体"/>
          <w:color w:val="auto"/>
          <w:sz w:val="24"/>
          <w:szCs w:val="24"/>
        </w:rPr>
        <w:t>质量保证期内发生质量问题的，应当免费及时进行更换或维修。</w:t>
      </w:r>
    </w:p>
    <w:bookmarkEnd w:id="22"/>
    <w:bookmarkEnd w:id="23"/>
    <w:bookmarkEnd w:id="24"/>
    <w:bookmarkEnd w:id="25"/>
    <w:bookmarkEnd w:id="32"/>
    <w:p w14:paraId="16831E74">
      <w:pPr>
        <w:keepNext w:val="0"/>
        <w:keepLines w:val="0"/>
        <w:pageBreakBefore w:val="0"/>
        <w:widowControl w:val="0"/>
        <w:kinsoku/>
        <w:wordWrap/>
        <w:overflowPunct/>
        <w:topLinePunct w:val="0"/>
        <w:autoSpaceDE w:val="0"/>
        <w:autoSpaceDN w:val="0"/>
        <w:bidi w:val="0"/>
        <w:adjustRightInd w:val="0"/>
        <w:spacing w:line="440" w:lineRule="exact"/>
        <w:ind w:right="0" w:firstLine="482" w:firstLineChars="200"/>
        <w:textAlignment w:val="auto"/>
        <w:outlineLvl w:val="0"/>
        <w:rPr>
          <w:rFonts w:ascii="宋体" w:hAnsi="宋体" w:cs="宋体"/>
          <w:b/>
          <w:bCs/>
          <w:color w:val="auto"/>
          <w:sz w:val="24"/>
          <w:szCs w:val="24"/>
          <w:lang w:val="zh-CN"/>
        </w:rPr>
      </w:pPr>
      <w:r>
        <w:rPr>
          <w:rFonts w:hint="eastAsia" w:ascii="宋体" w:hAnsi="宋体" w:cs="宋体"/>
          <w:b/>
          <w:bCs/>
          <w:color w:val="auto"/>
          <w:sz w:val="24"/>
          <w:szCs w:val="24"/>
          <w:lang w:val="en-US" w:eastAsia="zh-CN"/>
        </w:rPr>
        <w:t>11</w:t>
      </w:r>
      <w:r>
        <w:rPr>
          <w:rFonts w:hint="eastAsia" w:ascii="宋体" w:hAnsi="宋体" w:cs="宋体"/>
          <w:b/>
          <w:bCs/>
          <w:color w:val="auto"/>
          <w:sz w:val="24"/>
          <w:szCs w:val="24"/>
        </w:rPr>
        <w:t>、</w:t>
      </w:r>
      <w:r>
        <w:rPr>
          <w:rFonts w:hint="eastAsia" w:ascii="宋体" w:hAnsi="宋体" w:cs="宋体"/>
          <w:b/>
          <w:bCs/>
          <w:color w:val="auto"/>
          <w:sz w:val="24"/>
          <w:szCs w:val="24"/>
          <w:lang w:val="zh-CN"/>
        </w:rPr>
        <w:t>违约责任</w:t>
      </w:r>
    </w:p>
    <w:p w14:paraId="1C4C1B5F">
      <w:pPr>
        <w:keepNext w:val="0"/>
        <w:keepLines w:val="0"/>
        <w:pageBreakBefore w:val="0"/>
        <w:widowControl w:val="0"/>
        <w:kinsoku/>
        <w:wordWrap/>
        <w:overflowPunct/>
        <w:topLinePunct w:val="0"/>
        <w:bidi w:val="0"/>
        <w:spacing w:line="440" w:lineRule="exact"/>
        <w:ind w:right="0" w:firstLine="480" w:firstLineChars="200"/>
        <w:textAlignment w:val="auto"/>
        <w:rPr>
          <w:rFonts w:hint="eastAsia" w:ascii="宋体" w:hAnsi="宋体" w:eastAsia="宋体" w:cs="宋体"/>
          <w:color w:val="auto"/>
          <w:kern w:val="0"/>
          <w:sz w:val="24"/>
          <w:szCs w:val="24"/>
        </w:rPr>
      </w:pPr>
      <w:bookmarkStart w:id="39" w:name="_Toc497206196"/>
      <w:bookmarkStart w:id="40" w:name="_Toc497206306"/>
      <w:r>
        <w:rPr>
          <w:rFonts w:hint="eastAsia" w:ascii="宋体" w:hAnsi="宋体" w:eastAsia="宋体" w:cs="宋体"/>
          <w:color w:val="auto"/>
          <w:kern w:val="0"/>
          <w:sz w:val="24"/>
          <w:szCs w:val="24"/>
        </w:rPr>
        <w:t>依据《中华人民共和国</w:t>
      </w:r>
      <w:r>
        <w:rPr>
          <w:rFonts w:hint="eastAsia" w:ascii="宋体" w:hAnsi="宋体" w:eastAsia="宋体" w:cs="宋体"/>
          <w:color w:val="auto"/>
          <w:kern w:val="0"/>
          <w:sz w:val="24"/>
          <w:szCs w:val="24"/>
          <w:lang w:eastAsia="zh-CN"/>
        </w:rPr>
        <w:t>民法典</w:t>
      </w:r>
      <w:r>
        <w:rPr>
          <w:rFonts w:hint="eastAsia" w:ascii="宋体" w:hAnsi="宋体" w:eastAsia="宋体" w:cs="宋体"/>
          <w:color w:val="auto"/>
          <w:kern w:val="0"/>
          <w:sz w:val="24"/>
          <w:szCs w:val="24"/>
        </w:rPr>
        <w:t>》、《中华人民共和国政府采购法》的相关条款和本合同约定，</w:t>
      </w:r>
      <w:r>
        <w:rPr>
          <w:rFonts w:hint="eastAsia" w:ascii="宋体" w:hAnsi="宋体" w:eastAsia="宋体" w:cs="宋体"/>
          <w:color w:val="auto"/>
          <w:kern w:val="0"/>
          <w:sz w:val="24"/>
          <w:szCs w:val="24"/>
          <w:lang w:val="en-US" w:eastAsia="zh-CN"/>
        </w:rPr>
        <w:t>乙方</w:t>
      </w:r>
      <w:r>
        <w:rPr>
          <w:rFonts w:hint="eastAsia" w:ascii="宋体" w:hAnsi="宋体" w:eastAsia="宋体" w:cs="宋体"/>
          <w:color w:val="auto"/>
          <w:kern w:val="0"/>
          <w:sz w:val="24"/>
          <w:szCs w:val="24"/>
        </w:rPr>
        <w:t>未全面履行合同义务或者发生违约，</w:t>
      </w:r>
      <w:r>
        <w:rPr>
          <w:rFonts w:hint="eastAsia" w:ascii="宋体" w:hAnsi="宋体" w:eastAsia="宋体" w:cs="宋体"/>
          <w:color w:val="auto"/>
          <w:kern w:val="0"/>
          <w:sz w:val="24"/>
          <w:szCs w:val="24"/>
          <w:lang w:val="en-US" w:eastAsia="zh-CN"/>
        </w:rPr>
        <w:t>甲方</w:t>
      </w:r>
      <w:r>
        <w:rPr>
          <w:rFonts w:hint="eastAsia" w:ascii="宋体" w:hAnsi="宋体" w:eastAsia="宋体" w:cs="宋体"/>
          <w:color w:val="auto"/>
          <w:kern w:val="0"/>
          <w:sz w:val="24"/>
          <w:szCs w:val="24"/>
        </w:rPr>
        <w:t>有权终止合同，依法向</w:t>
      </w:r>
      <w:r>
        <w:rPr>
          <w:rFonts w:hint="eastAsia" w:ascii="宋体" w:hAnsi="宋体" w:eastAsia="宋体" w:cs="宋体"/>
          <w:color w:val="auto"/>
          <w:kern w:val="0"/>
          <w:sz w:val="24"/>
          <w:szCs w:val="24"/>
          <w:lang w:val="en-US" w:eastAsia="zh-CN"/>
        </w:rPr>
        <w:t>乙方</w:t>
      </w:r>
      <w:r>
        <w:rPr>
          <w:rFonts w:hint="eastAsia" w:ascii="宋体" w:hAnsi="宋体" w:eastAsia="宋体" w:cs="宋体"/>
          <w:color w:val="auto"/>
          <w:kern w:val="0"/>
          <w:sz w:val="24"/>
          <w:szCs w:val="24"/>
        </w:rPr>
        <w:t>进行经济索赔，并报请政府采购监督管理机关进行相应的行政处罚。</w:t>
      </w:r>
      <w:r>
        <w:rPr>
          <w:rFonts w:hint="eastAsia" w:ascii="宋体" w:hAnsi="宋体" w:eastAsia="宋体" w:cs="宋体"/>
          <w:color w:val="auto"/>
          <w:kern w:val="0"/>
          <w:sz w:val="24"/>
          <w:szCs w:val="24"/>
          <w:lang w:val="en-US" w:eastAsia="zh-CN"/>
        </w:rPr>
        <w:t>甲方</w:t>
      </w:r>
      <w:r>
        <w:rPr>
          <w:rFonts w:hint="eastAsia" w:ascii="宋体" w:hAnsi="宋体" w:eastAsia="宋体" w:cs="宋体"/>
          <w:color w:val="auto"/>
          <w:kern w:val="0"/>
          <w:sz w:val="24"/>
          <w:szCs w:val="24"/>
        </w:rPr>
        <w:t>违约的，应当赔偿给</w:t>
      </w:r>
      <w:r>
        <w:rPr>
          <w:rFonts w:hint="eastAsia" w:ascii="宋体" w:hAnsi="宋体" w:eastAsia="宋体" w:cs="宋体"/>
          <w:color w:val="auto"/>
          <w:kern w:val="0"/>
          <w:sz w:val="24"/>
          <w:szCs w:val="24"/>
          <w:lang w:val="en-US" w:eastAsia="zh-CN"/>
        </w:rPr>
        <w:t>乙方</w:t>
      </w:r>
      <w:r>
        <w:rPr>
          <w:rFonts w:hint="eastAsia" w:ascii="宋体" w:hAnsi="宋体" w:eastAsia="宋体" w:cs="宋体"/>
          <w:color w:val="auto"/>
          <w:kern w:val="0"/>
          <w:sz w:val="24"/>
          <w:szCs w:val="24"/>
        </w:rPr>
        <w:t>造成的经济损失。</w:t>
      </w:r>
    </w:p>
    <w:p w14:paraId="1EA2CCFD">
      <w:pPr>
        <w:keepNext w:val="0"/>
        <w:keepLines w:val="0"/>
        <w:pageBreakBefore w:val="0"/>
        <w:widowControl w:val="0"/>
        <w:kinsoku/>
        <w:wordWrap/>
        <w:overflowPunct/>
        <w:topLinePunct w:val="0"/>
        <w:bidi w:val="0"/>
        <w:spacing w:line="440" w:lineRule="exact"/>
        <w:ind w:right="0" w:firstLine="482" w:firstLineChars="200"/>
        <w:jc w:val="left"/>
        <w:textAlignment w:val="auto"/>
        <w:rPr>
          <w:rFonts w:ascii="宋体" w:hAnsi="宋体" w:cs="宋体"/>
          <w:b/>
          <w:color w:val="auto"/>
          <w:sz w:val="24"/>
          <w:szCs w:val="24"/>
        </w:rPr>
      </w:pPr>
      <w:r>
        <w:rPr>
          <w:rFonts w:hint="eastAsia" w:ascii="宋体" w:hAnsi="宋体" w:cs="宋体"/>
          <w:b/>
          <w:color w:val="auto"/>
          <w:sz w:val="24"/>
          <w:szCs w:val="24"/>
          <w:lang w:val="en-US" w:eastAsia="zh-CN"/>
        </w:rPr>
        <w:t>12</w:t>
      </w:r>
      <w:r>
        <w:rPr>
          <w:rFonts w:hint="eastAsia" w:ascii="宋体" w:hAnsi="宋体" w:cs="宋体"/>
          <w:b/>
          <w:color w:val="auto"/>
          <w:sz w:val="24"/>
          <w:szCs w:val="24"/>
        </w:rPr>
        <w:t>、争议的解决</w:t>
      </w:r>
    </w:p>
    <w:p w14:paraId="443303BB">
      <w:pPr>
        <w:keepNext w:val="0"/>
        <w:keepLines w:val="0"/>
        <w:pageBreakBefore w:val="0"/>
        <w:widowControl w:val="0"/>
        <w:kinsoku/>
        <w:wordWrap/>
        <w:overflowPunct/>
        <w:topLinePunct w:val="0"/>
        <w:bidi w:val="0"/>
        <w:spacing w:line="440" w:lineRule="exact"/>
        <w:ind w:right="0" w:firstLine="480" w:firstLineChars="200"/>
        <w:jc w:val="left"/>
        <w:textAlignment w:val="auto"/>
        <w:rPr>
          <w:rFonts w:ascii="宋体" w:hAnsi="宋体" w:cs="宋体"/>
          <w:color w:val="auto"/>
          <w:sz w:val="24"/>
          <w:szCs w:val="24"/>
        </w:rPr>
      </w:pPr>
      <w:r>
        <w:rPr>
          <w:rFonts w:hint="eastAsia" w:ascii="宋体" w:hAnsi="宋体" w:cs="宋体"/>
          <w:color w:val="auto"/>
          <w:sz w:val="24"/>
          <w:szCs w:val="24"/>
          <w:lang w:val="en-US" w:eastAsia="zh-CN"/>
        </w:rPr>
        <w:t>12.</w:t>
      </w:r>
      <w:r>
        <w:rPr>
          <w:rFonts w:hint="eastAsia" w:ascii="宋体" w:hAnsi="宋体" w:cs="宋体"/>
          <w:color w:val="auto"/>
          <w:sz w:val="24"/>
          <w:szCs w:val="24"/>
        </w:rPr>
        <w:t>1、因货物（产品）的质量问题发生争议，由质量技术监督部门或其指定的质量鉴定机构进行质量鉴定。货物符合标准的，鉴定费由甲方承担；货物（产品）不符合质量标准的，鉴定费由乙方承担。</w:t>
      </w:r>
    </w:p>
    <w:p w14:paraId="7D62912B">
      <w:pPr>
        <w:keepNext w:val="0"/>
        <w:keepLines w:val="0"/>
        <w:pageBreakBefore w:val="0"/>
        <w:widowControl w:val="0"/>
        <w:kinsoku/>
        <w:wordWrap/>
        <w:overflowPunct/>
        <w:topLinePunct w:val="0"/>
        <w:bidi w:val="0"/>
        <w:spacing w:line="440" w:lineRule="exact"/>
        <w:ind w:right="0" w:firstLine="480" w:firstLineChars="200"/>
        <w:jc w:val="left"/>
        <w:textAlignment w:val="auto"/>
        <w:rPr>
          <w:rFonts w:ascii="宋体" w:hAnsi="宋体" w:cs="宋体"/>
          <w:color w:val="auto"/>
          <w:sz w:val="24"/>
          <w:szCs w:val="24"/>
        </w:rPr>
      </w:pPr>
      <w:r>
        <w:rPr>
          <w:rFonts w:hint="eastAsia" w:ascii="宋体" w:hAnsi="宋体" w:cs="宋体"/>
          <w:color w:val="auto"/>
          <w:sz w:val="24"/>
          <w:szCs w:val="24"/>
          <w:lang w:val="en-US" w:eastAsia="zh-CN"/>
        </w:rPr>
        <w:t>12.</w:t>
      </w:r>
      <w:r>
        <w:rPr>
          <w:rFonts w:hint="eastAsia" w:ascii="宋体" w:hAnsi="宋体" w:cs="宋体"/>
          <w:color w:val="auto"/>
          <w:sz w:val="24"/>
          <w:szCs w:val="24"/>
        </w:rPr>
        <w:t>2、因履行本合同引起的或与本合同有关的争议，甲、乙双方应首先通过友好协商解决，如果协商不能解决争议，</w:t>
      </w:r>
      <w:r>
        <w:rPr>
          <w:rFonts w:hint="eastAsia" w:ascii="宋体" w:hAnsi="宋体" w:cs="宋体"/>
          <w:color w:val="auto"/>
          <w:sz w:val="24"/>
          <w:szCs w:val="24"/>
          <w:lang w:val="en-US" w:eastAsia="zh-CN"/>
        </w:rPr>
        <w:t>可</w:t>
      </w:r>
      <w:r>
        <w:rPr>
          <w:rFonts w:hint="eastAsia" w:ascii="宋体" w:hAnsi="宋体" w:cs="宋体"/>
          <w:color w:val="auto"/>
          <w:sz w:val="24"/>
          <w:szCs w:val="24"/>
        </w:rPr>
        <w:t>向甲方所在地有管辖权的人民法院提起诉讼</w:t>
      </w:r>
      <w:r>
        <w:rPr>
          <w:rFonts w:hint="eastAsia" w:ascii="宋体" w:hAnsi="宋体" w:cs="宋体"/>
          <w:color w:val="auto"/>
          <w:sz w:val="24"/>
          <w:szCs w:val="24"/>
          <w:lang w:val="en-US" w:eastAsia="zh-CN"/>
        </w:rPr>
        <w:t>或者向</w:t>
      </w:r>
      <w:r>
        <w:rPr>
          <w:rFonts w:hint="eastAsia" w:ascii="宋体" w:hAnsi="宋体" w:cs="宋体"/>
          <w:color w:val="auto"/>
          <w:sz w:val="24"/>
          <w:szCs w:val="24"/>
          <w:u w:val="none"/>
          <w:lang w:val="en-US" w:eastAsia="zh-CN"/>
        </w:rPr>
        <w:t>当地行政仲裁机关</w:t>
      </w:r>
      <w:r>
        <w:rPr>
          <w:rFonts w:hint="eastAsia" w:ascii="宋体" w:hAnsi="宋体" w:cs="宋体"/>
          <w:color w:val="auto"/>
          <w:sz w:val="24"/>
          <w:szCs w:val="24"/>
        </w:rPr>
        <w:t>申请仲裁。</w:t>
      </w:r>
    </w:p>
    <w:p w14:paraId="464E52B5">
      <w:pPr>
        <w:keepNext w:val="0"/>
        <w:keepLines w:val="0"/>
        <w:pageBreakBefore w:val="0"/>
        <w:widowControl w:val="0"/>
        <w:kinsoku/>
        <w:wordWrap/>
        <w:overflowPunct/>
        <w:topLinePunct w:val="0"/>
        <w:bidi w:val="0"/>
        <w:spacing w:line="440" w:lineRule="exact"/>
        <w:ind w:right="0" w:firstLine="480" w:firstLineChars="200"/>
        <w:jc w:val="left"/>
        <w:textAlignment w:val="auto"/>
        <w:rPr>
          <w:rFonts w:ascii="宋体" w:hAnsi="宋体" w:cs="宋体"/>
          <w:color w:val="auto"/>
          <w:sz w:val="24"/>
          <w:szCs w:val="24"/>
        </w:rPr>
      </w:pPr>
      <w:r>
        <w:rPr>
          <w:rFonts w:hint="eastAsia" w:ascii="宋体" w:hAnsi="宋体" w:cs="宋体"/>
          <w:color w:val="auto"/>
          <w:sz w:val="24"/>
          <w:szCs w:val="24"/>
          <w:lang w:val="en-US" w:eastAsia="zh-CN"/>
        </w:rPr>
        <w:t>12.</w:t>
      </w:r>
      <w:r>
        <w:rPr>
          <w:rFonts w:hint="eastAsia" w:ascii="宋体" w:hAnsi="宋体" w:cs="宋体"/>
          <w:color w:val="auto"/>
          <w:sz w:val="24"/>
          <w:szCs w:val="24"/>
        </w:rPr>
        <w:t>3、在诉讼或仲裁期间，本合同应继续履行。</w:t>
      </w:r>
    </w:p>
    <w:bookmarkEnd w:id="39"/>
    <w:bookmarkEnd w:id="40"/>
    <w:p w14:paraId="0015A70E">
      <w:pPr>
        <w:keepNext w:val="0"/>
        <w:keepLines w:val="0"/>
        <w:pageBreakBefore w:val="0"/>
        <w:widowControl w:val="0"/>
        <w:kinsoku/>
        <w:wordWrap/>
        <w:overflowPunct/>
        <w:topLinePunct w:val="0"/>
        <w:autoSpaceDE w:val="0"/>
        <w:autoSpaceDN w:val="0"/>
        <w:bidi w:val="0"/>
        <w:adjustRightInd w:val="0"/>
        <w:spacing w:line="440" w:lineRule="exact"/>
        <w:ind w:right="0" w:firstLine="482" w:firstLineChars="200"/>
        <w:textAlignment w:val="auto"/>
        <w:outlineLvl w:val="0"/>
        <w:rPr>
          <w:rFonts w:ascii="宋体" w:hAnsi="宋体" w:cs="宋体"/>
          <w:b/>
          <w:bCs/>
          <w:color w:val="auto"/>
          <w:sz w:val="24"/>
          <w:szCs w:val="24"/>
        </w:rPr>
      </w:pPr>
      <w:bookmarkStart w:id="41" w:name="_Toc10604"/>
      <w:bookmarkStart w:id="42" w:name="_Toc1534"/>
      <w:bookmarkStart w:id="43" w:name="_Toc497206307"/>
      <w:bookmarkStart w:id="44" w:name="_Toc497206197"/>
      <w:bookmarkStart w:id="45" w:name="_Toc893"/>
      <w:r>
        <w:rPr>
          <w:rFonts w:hint="eastAsia" w:ascii="宋体" w:hAnsi="宋体" w:cs="宋体"/>
          <w:b/>
          <w:bCs/>
          <w:color w:val="auto"/>
          <w:sz w:val="24"/>
          <w:szCs w:val="24"/>
          <w:lang w:val="en-US" w:eastAsia="zh-CN"/>
        </w:rPr>
        <w:t>13</w:t>
      </w:r>
      <w:r>
        <w:rPr>
          <w:rFonts w:hint="eastAsia" w:ascii="宋体" w:hAnsi="宋体" w:cs="宋体"/>
          <w:b/>
          <w:bCs/>
          <w:color w:val="auto"/>
          <w:sz w:val="24"/>
          <w:szCs w:val="24"/>
          <w:lang w:val="zh-CN"/>
        </w:rPr>
        <w:t>、合同生效及其它</w:t>
      </w:r>
      <w:bookmarkEnd w:id="41"/>
      <w:bookmarkEnd w:id="42"/>
      <w:bookmarkEnd w:id="43"/>
      <w:bookmarkEnd w:id="44"/>
      <w:bookmarkEnd w:id="45"/>
    </w:p>
    <w:p w14:paraId="2F55B835">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13.</w:t>
      </w:r>
      <w:r>
        <w:rPr>
          <w:rFonts w:hint="eastAsia" w:ascii="宋体" w:hAnsi="宋体" w:cs="宋体"/>
          <w:color w:val="auto"/>
          <w:sz w:val="24"/>
          <w:szCs w:val="24"/>
        </w:rPr>
        <w:t>1、合同未尽事宜、由甲、乙双方协商，作为合同补充，与原合同具有同等法律效力。</w:t>
      </w:r>
    </w:p>
    <w:p w14:paraId="0A7A3362">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13.</w:t>
      </w:r>
      <w:r>
        <w:rPr>
          <w:rFonts w:hint="eastAsia" w:ascii="宋体" w:hAnsi="宋体" w:cs="宋体"/>
          <w:color w:val="auto"/>
          <w:sz w:val="24"/>
          <w:szCs w:val="24"/>
        </w:rPr>
        <w:t>2、本合同正本一式</w:t>
      </w:r>
      <w:r>
        <w:rPr>
          <w:rFonts w:hint="eastAsia" w:ascii="宋体" w:hAnsi="宋体" w:cs="宋体"/>
          <w:color w:val="auto"/>
          <w:sz w:val="24"/>
          <w:szCs w:val="24"/>
          <w:u w:val="single"/>
        </w:rPr>
        <w:t xml:space="preserve">   </w:t>
      </w:r>
      <w:r>
        <w:rPr>
          <w:rFonts w:hint="eastAsia" w:ascii="宋体" w:hAnsi="宋体" w:cs="宋体"/>
          <w:color w:val="auto"/>
          <w:sz w:val="24"/>
          <w:szCs w:val="24"/>
        </w:rPr>
        <w:t>份，甲方、乙方双方分别执</w:t>
      </w:r>
      <w:r>
        <w:rPr>
          <w:rFonts w:hint="eastAsia" w:ascii="宋体" w:hAnsi="宋体" w:cs="宋体"/>
          <w:color w:val="auto"/>
          <w:sz w:val="24"/>
          <w:szCs w:val="24"/>
          <w:u w:val="single"/>
        </w:rPr>
        <w:t xml:space="preserve">   </w:t>
      </w:r>
      <w:r>
        <w:rPr>
          <w:rFonts w:hint="eastAsia" w:ascii="宋体" w:hAnsi="宋体" w:cs="宋体"/>
          <w:color w:val="auto"/>
          <w:sz w:val="24"/>
          <w:szCs w:val="24"/>
        </w:rPr>
        <w:t>份，备案</w:t>
      </w:r>
      <w:r>
        <w:rPr>
          <w:rFonts w:hint="eastAsia" w:ascii="宋体" w:hAnsi="宋体" w:cs="宋体"/>
          <w:color w:val="auto"/>
          <w:sz w:val="24"/>
          <w:szCs w:val="24"/>
          <w:u w:val="single"/>
        </w:rPr>
        <w:t xml:space="preserve">   </w:t>
      </w:r>
      <w:r>
        <w:rPr>
          <w:rFonts w:hint="eastAsia" w:ascii="宋体" w:hAnsi="宋体" w:cs="宋体"/>
          <w:color w:val="auto"/>
          <w:sz w:val="24"/>
          <w:szCs w:val="24"/>
        </w:rPr>
        <w:t>份。</w:t>
      </w:r>
    </w:p>
    <w:p w14:paraId="4E4C35AB">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13.</w:t>
      </w:r>
      <w:r>
        <w:rPr>
          <w:rFonts w:hint="eastAsia" w:ascii="宋体" w:hAnsi="宋体" w:cs="宋体"/>
          <w:color w:val="auto"/>
          <w:sz w:val="24"/>
          <w:szCs w:val="24"/>
        </w:rPr>
        <w:t>3、合同经甲乙双方盖章、签字后生效，合同签订地点为</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14:paraId="7DBCCE26">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13.</w:t>
      </w:r>
      <w:r>
        <w:rPr>
          <w:rFonts w:hint="eastAsia" w:ascii="宋体" w:hAnsi="宋体" w:cs="宋体"/>
          <w:color w:val="auto"/>
          <w:sz w:val="24"/>
          <w:szCs w:val="24"/>
        </w:rPr>
        <w:t>4、生效时间：    年   月  日</w:t>
      </w:r>
    </w:p>
    <w:p w14:paraId="107AD7BB">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sz w:val="24"/>
          <w:szCs w:val="24"/>
        </w:rPr>
      </w:pPr>
    </w:p>
    <w:tbl>
      <w:tblPr>
        <w:tblStyle w:val="4"/>
        <w:tblW w:w="9286" w:type="dxa"/>
        <w:jc w:val="center"/>
        <w:tblLayout w:type="fixed"/>
        <w:tblCellMar>
          <w:top w:w="0" w:type="dxa"/>
          <w:left w:w="108" w:type="dxa"/>
          <w:bottom w:w="0" w:type="dxa"/>
          <w:right w:w="108" w:type="dxa"/>
        </w:tblCellMar>
      </w:tblPr>
      <w:tblGrid>
        <w:gridCol w:w="4643"/>
        <w:gridCol w:w="4643"/>
      </w:tblGrid>
      <w:tr w14:paraId="79C1C68B">
        <w:tblPrEx>
          <w:tblCellMar>
            <w:top w:w="0" w:type="dxa"/>
            <w:left w:w="108" w:type="dxa"/>
            <w:bottom w:w="0" w:type="dxa"/>
            <w:right w:w="108" w:type="dxa"/>
          </w:tblCellMar>
        </w:tblPrEx>
        <w:trPr>
          <w:jc w:val="center"/>
        </w:trPr>
        <w:tc>
          <w:tcPr>
            <w:tcW w:w="4643" w:type="dxa"/>
            <w:noWrap w:val="0"/>
            <w:vAlign w:val="top"/>
          </w:tcPr>
          <w:p w14:paraId="2C06BA47">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甲方名称（盖章）:</w:t>
            </w:r>
          </w:p>
          <w:p w14:paraId="740AAD72">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地址：</w:t>
            </w:r>
          </w:p>
          <w:p w14:paraId="655FB790">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代表人（签字）：</w:t>
            </w:r>
          </w:p>
          <w:p w14:paraId="499C1ED9">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电话：</w:t>
            </w:r>
          </w:p>
          <w:p w14:paraId="2A8EE016">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开户银行：</w:t>
            </w:r>
          </w:p>
          <w:p w14:paraId="0F66C81A">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帐号：</w:t>
            </w:r>
          </w:p>
        </w:tc>
        <w:tc>
          <w:tcPr>
            <w:tcW w:w="4643" w:type="dxa"/>
            <w:noWrap w:val="0"/>
            <w:vAlign w:val="top"/>
          </w:tcPr>
          <w:p w14:paraId="6F7B5C6A">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乙方名称（盖章）:</w:t>
            </w:r>
          </w:p>
          <w:p w14:paraId="70EF33A5">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地址：</w:t>
            </w:r>
          </w:p>
          <w:p w14:paraId="7A36706F">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代表人（签字）：</w:t>
            </w:r>
          </w:p>
          <w:p w14:paraId="4B5A9E79">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电话：</w:t>
            </w:r>
          </w:p>
          <w:p w14:paraId="3D8063E9">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开户银行：</w:t>
            </w:r>
          </w:p>
          <w:p w14:paraId="2B231084">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rPr>
              <w:t>帐号：</w:t>
            </w:r>
          </w:p>
        </w:tc>
      </w:tr>
    </w:tbl>
    <w:p w14:paraId="5FAEA5DD">
      <w:pPr>
        <w:keepNext w:val="0"/>
        <w:keepLines w:val="0"/>
        <w:pageBreakBefore w:val="0"/>
        <w:widowControl w:val="0"/>
        <w:kinsoku/>
        <w:wordWrap/>
        <w:overflowPunct/>
        <w:topLinePunct w:val="0"/>
        <w:bidi w:val="0"/>
        <w:spacing w:line="440" w:lineRule="exact"/>
        <w:textAlignment w:val="auto"/>
        <w:rPr>
          <w:rFonts w:hint="eastAsia"/>
          <w:color w:val="auto"/>
        </w:rPr>
      </w:pPr>
    </w:p>
    <w:p w14:paraId="5ADFF4F2">
      <w:pPr>
        <w:keepNext w:val="0"/>
        <w:keepLines w:val="0"/>
        <w:pageBreakBefore w:val="0"/>
        <w:widowControl w:val="0"/>
        <w:numPr>
          <w:ilvl w:val="0"/>
          <w:numId w:val="0"/>
        </w:numPr>
        <w:kinsoku/>
        <w:wordWrap/>
        <w:overflowPunct/>
        <w:topLinePunct w:val="0"/>
        <w:bidi w:val="0"/>
        <w:spacing w:line="440" w:lineRule="exact"/>
        <w:textAlignment w:val="auto"/>
        <w:rPr>
          <w:rFonts w:hint="eastAsia"/>
          <w:color w:val="auto"/>
          <w:lang w:val="en-US" w:eastAsia="zh-CN"/>
        </w:rPr>
      </w:pPr>
    </w:p>
    <w:p w14:paraId="13898D92">
      <w:pPr>
        <w:keepNext w:val="0"/>
        <w:keepLines w:val="0"/>
        <w:pageBreakBefore w:val="0"/>
        <w:widowControl w:val="0"/>
        <w:kinsoku/>
        <w:wordWrap/>
        <w:overflowPunct/>
        <w:topLinePunct w:val="0"/>
        <w:bidi w:val="0"/>
        <w:spacing w:line="440" w:lineRule="exact"/>
        <w:textAlignment w:val="auto"/>
      </w:pPr>
    </w:p>
    <w:p w14:paraId="0D1CA42E">
      <w:pPr>
        <w:pStyle w:val="3"/>
        <w:rPr>
          <w:rFonts w:hint="eastAsia" w:ascii="宋体" w:hAnsi="宋体" w:eastAsia="宋体" w:cs="宋体"/>
          <w:lang w:val="en-US" w:eastAsia="zh-CN"/>
        </w:rPr>
      </w:pPr>
    </w:p>
    <w:p w14:paraId="6498172E">
      <w:pPr>
        <w:rPr>
          <w:rFonts w:hint="eastAsia" w:ascii="宋体" w:hAnsi="宋体" w:eastAsia="宋体" w:cs="宋体"/>
          <w:lang w:val="en-US" w:eastAsia="zh-CN"/>
        </w:rPr>
      </w:pPr>
    </w:p>
    <w:p w14:paraId="12A75D0B">
      <w:pPr>
        <w:pStyle w:val="2"/>
        <w:rPr>
          <w:rFonts w:hint="eastAsia" w:ascii="宋体" w:hAnsi="宋体" w:eastAsia="宋体" w:cs="宋体"/>
          <w:b/>
          <w:bCs/>
          <w:color w:val="auto"/>
          <w:sz w:val="32"/>
          <w:szCs w:val="32"/>
          <w:lang w:val="zh-CN" w:eastAsia="zh-CN"/>
        </w:rPr>
      </w:pPr>
    </w:p>
    <w:p w14:paraId="362559E5">
      <w:pPr>
        <w:rPr>
          <w:rFonts w:hint="eastAsia" w:ascii="宋体" w:hAnsi="宋体" w:eastAsia="宋体" w:cs="宋体"/>
          <w:lang w:val="zh-CN" w:eastAsia="zh-CN"/>
        </w:rPr>
      </w:pPr>
    </w:p>
    <w:p w14:paraId="2B16838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C2224A"/>
    <w:rsid w:val="30C222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黑体" w:eastAsia="黑体"/>
      <w:sz w:val="28"/>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99"/>
    <w:pPr>
      <w:jc w:val="left"/>
    </w:pPr>
    <w:rPr>
      <w:rFonts w:ascii="Copperplate Gothic Bold" w:hAnsi="Copperplate Gothic Bold"/>
      <w:sz w:val="2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0</Company>
  <Pages>5</Pages>
  <Words>0</Words>
  <Characters>0</Characters>
  <Lines>0</Lines>
  <Paragraphs>0</Paragraphs>
  <TotalTime>6</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2025-12-15T07:31:00Z</dcterms:created>
  <dc:creator>同求</dc:creator>
  <cp:lastModifiedBy>同求</cp:lastModifiedBy>
  <dcterms:modified xsi:type="dcterms:W3CDTF">2025-12-15T09:29:20Z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0C6F17BD68A1440FA71C51247D2E945D_11</vt:lpwstr>
  </property>
  <property fmtid="{D5CDD505-2E9C-101B-9397-08002B2CF9AE}" pid="4" name="KSOTemplateDocerSaveRecord">
    <vt:lpwstr>eyJoZGlkIjoiYjRjYzJmMzg4ZDhiMzdiMzhhZTY4NTRjOTg5NGU5YWMiLCJ1c2VySWQiOiI2ODMyMDk0MzQifQ==</vt:lpwstr>
  </property>
</Properties>
</file>