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版本号：DFWJ-CG-25-1520251222002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财务大数据实训室项目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DFWJ-CG-25-15</w:t>
      </w:r>
      <w:r>
        <w:br/>
      </w:r>
      <w:r>
        <w:br/>
      </w:r>
      <w:r>
        <w:br/>
      </w:r>
    </w:p>
    <w:p>
      <w:pPr>
        <w:pStyle w:val="null3"/>
        <w:jc w:val="center"/>
        <w:outlineLvl w:val="2"/>
      </w:pPr>
      <w:r>
        <w:rPr>
          <w:rFonts w:ascii="仿宋_GB2312" w:hAnsi="仿宋_GB2312" w:cs="仿宋_GB2312" w:eastAsia="仿宋_GB2312"/>
          <w:sz w:val="28"/>
          <w:b/>
        </w:rPr>
        <w:t>商洛职业技术学院</w:t>
      </w:r>
    </w:p>
    <w:p>
      <w:pPr>
        <w:pStyle w:val="null3"/>
        <w:jc w:val="center"/>
        <w:outlineLvl w:val="2"/>
      </w:pPr>
      <w:r>
        <w:rPr>
          <w:rFonts w:ascii="仿宋_GB2312" w:hAnsi="仿宋_GB2312" w:cs="仿宋_GB2312" w:eastAsia="仿宋_GB2312"/>
          <w:sz w:val="28"/>
          <w:b/>
        </w:rPr>
        <w:t>东方文璟项目管理有限公司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东方文璟项目管理有限公司</w:t>
      </w:r>
      <w:r>
        <w:rPr>
          <w:rFonts w:ascii="仿宋_GB2312" w:hAnsi="仿宋_GB2312" w:cs="仿宋_GB2312" w:eastAsia="仿宋_GB2312"/>
        </w:rPr>
        <w:t>（以下简称“代理机构”）受</w:t>
      </w:r>
      <w:r>
        <w:rPr>
          <w:rFonts w:ascii="仿宋_GB2312" w:hAnsi="仿宋_GB2312" w:cs="仿宋_GB2312" w:eastAsia="仿宋_GB2312"/>
        </w:rPr>
        <w:t>商洛职业技术学院</w:t>
      </w:r>
      <w:r>
        <w:rPr>
          <w:rFonts w:ascii="仿宋_GB2312" w:hAnsi="仿宋_GB2312" w:cs="仿宋_GB2312" w:eastAsia="仿宋_GB2312"/>
        </w:rPr>
        <w:t>委托，拟对</w:t>
      </w:r>
      <w:r>
        <w:rPr>
          <w:rFonts w:ascii="仿宋_GB2312" w:hAnsi="仿宋_GB2312" w:cs="仿宋_GB2312" w:eastAsia="仿宋_GB2312"/>
        </w:rPr>
        <w:t>财务大数据实训室项目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DFWJ-CG-25-15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财务大数据实训室项目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财务大数据实训室项目包含：财务大数据分析课程平台、智能教师终端、学生智能终端、实训工作台、综合布线五部分。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采购包1（财务大数据实训室项目）：属于专门面向中小企业采购。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营业执照中需要具有相关资质：投标人为合法注册的法人、其他组织或自然人，具有独立承担民事责任的能力，提供统一社会信用代码的营业执照（或事业法人证），投标人为自然人的提供身份证。供应商需在项目电子化交易系统中按要求上传相应证明文件并进行电子签章；</w:t>
      </w:r>
    </w:p>
    <w:p>
      <w:pPr>
        <w:pStyle w:val="null3"/>
      </w:pPr>
      <w:r>
        <w:rPr>
          <w:rFonts w:ascii="仿宋_GB2312" w:hAnsi="仿宋_GB2312" w:cs="仿宋_GB2312" w:eastAsia="仿宋_GB2312"/>
        </w:rPr>
        <w:t>2、提供法人授权委托书或法人身份证明：法定代表人授权委托书原件（附法人及被授权人身份证复印件加盖公章）、被授权人身份证原件（法定代表人参加投标时,只需提供法定代表人身份身份证明及身份证原件）。供应商需在项目电子化交易系统中按要求上传相应证明文件并进行电子签章；</w:t>
      </w:r>
    </w:p>
    <w:p>
      <w:pPr>
        <w:pStyle w:val="null3"/>
      </w:pPr>
      <w:r>
        <w:rPr>
          <w:rFonts w:ascii="仿宋_GB2312" w:hAnsi="仿宋_GB2312" w:cs="仿宋_GB2312" w:eastAsia="仿宋_GB2312"/>
        </w:rPr>
        <w:t>3、财务状况报告：提供2024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或信用担保机构出具的投标担保函（以上三种形式的资料提供任何一种即可）；供应商需在项目电子化交易系统中按要求上传相应证明文件并进行电子签章。供应商需在项目电子化交易系统中按要求上传相应证明文件并进行电子签章；</w:t>
      </w:r>
    </w:p>
    <w:p>
      <w:pPr>
        <w:pStyle w:val="null3"/>
      </w:pPr>
      <w:r>
        <w:rPr>
          <w:rFonts w:ascii="仿宋_GB2312" w:hAnsi="仿宋_GB2312" w:cs="仿宋_GB2312" w:eastAsia="仿宋_GB2312"/>
        </w:rPr>
        <w:t>4、税收缴纳证明：提供递交响应文件截止之日前一年内任意一个月的依法缴纳税收的相关凭据，凭据应有税务机关或代收机关的公章或业务专用章。依法免税或无须缴纳税收的投标人，应提供相应证明文件。供应商需在项目电子化交易系统中按要求上传相应证明文件并进行电子签章；</w:t>
      </w:r>
    </w:p>
    <w:p>
      <w:pPr>
        <w:pStyle w:val="null3"/>
      </w:pPr>
      <w:r>
        <w:rPr>
          <w:rFonts w:ascii="仿宋_GB2312" w:hAnsi="仿宋_GB2312" w:cs="仿宋_GB2312" w:eastAsia="仿宋_GB2312"/>
        </w:rPr>
        <w:t>5、社保缴纳证明：提供递交响应文件截止之日前一年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6、无重大违法、违纪书面声明：提供近三年内无重大违法、违纪书面声明。供应商需在项目电子化交易系统中按要求上传相应证明文件并进行电子签章；</w:t>
      </w:r>
    </w:p>
    <w:p>
      <w:pPr>
        <w:pStyle w:val="null3"/>
      </w:pPr>
      <w:r>
        <w:rPr>
          <w:rFonts w:ascii="仿宋_GB2312" w:hAnsi="仿宋_GB2312" w:cs="仿宋_GB2312" w:eastAsia="仿宋_GB2312"/>
        </w:rPr>
        <w:t>7、信用状况：投标人未被“中国执行信息公开（https://zxgk.court.gov.cn/shixin/）”列入失信被执行人、“信用中国”网站(www.creditchina.gov.cn)列入重大税收违法失信主体，未被中国政府采购(www.ccgp.gov.cn)列入政府采购严重违法失信行为记录名单（提供声明函）。供应商需在项目电子化交易系统中按要求上传相应证明文件并进行电子签章；</w:t>
      </w:r>
    </w:p>
    <w:p>
      <w:pPr>
        <w:pStyle w:val="null3"/>
      </w:pPr>
      <w:r>
        <w:rPr>
          <w:rFonts w:ascii="仿宋_GB2312" w:hAnsi="仿宋_GB2312" w:cs="仿宋_GB2312" w:eastAsia="仿宋_GB2312"/>
        </w:rPr>
        <w:t>8、履约能力声明函：具有履行合同所必需的设备和专业技术能力；未为本项目提供整体设计、规范编制或者项目管理、监理、检测等服务；供应商需在项目电子化交易系统中按要求上传相应证明文件并进行电子签章</w:t>
      </w:r>
    </w:p>
    <w:p>
      <w:pPr>
        <w:pStyle w:val="null3"/>
      </w:pPr>
      <w:r>
        <w:rPr>
          <w:rFonts w:ascii="仿宋_GB2312" w:hAnsi="仿宋_GB2312" w:cs="仿宋_GB2312" w:eastAsia="仿宋_GB2312"/>
        </w:rPr>
        <w:t>9、控股关系：单位负责人为同一人或者存在直接控股、管理关系的供应商，不得参加同一合同下的政府采购活动。供应商需在项目电子化交易系统中按要求上传相应证明文件并进行电子签章；</w:t>
      </w:r>
    </w:p>
    <w:p>
      <w:pPr>
        <w:pStyle w:val="null3"/>
      </w:pPr>
      <w:r>
        <w:rPr>
          <w:rFonts w:ascii="仿宋_GB2312" w:hAnsi="仿宋_GB2312" w:cs="仿宋_GB2312" w:eastAsia="仿宋_GB2312"/>
        </w:rPr>
        <w:t>10、本项目不接受联合体投标：本项目不接受联合体投标。供应商需在项目电子化交易系统中按要求上传相应证明文件并进行电子签章；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商州区商鞅大道西段丹南新区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15829674467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东方文璟项目管理有限公司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陕西省商洛市商州区陕西省商洛市商州区州城街翠湖明珠商户三楼东侧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15229148829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采购包1：323,600.00元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开户名称：东方文璟项目管理有限公司</w:t>
            </w:r>
          </w:p>
          <w:p>
            <w:pPr>
              <w:pStyle w:val="null3"/>
            </w:pPr>
            <w:r>
              <w:rPr>
                <w:rFonts w:ascii="仿宋_GB2312" w:hAnsi="仿宋_GB2312" w:cs="仿宋_GB2312" w:eastAsia="仿宋_GB2312"/>
              </w:rPr>
              <w:t>开户银行：中国银行商洛商州区商鞅大道支行</w:t>
            </w:r>
          </w:p>
          <w:p>
            <w:pPr>
              <w:pStyle w:val="null3"/>
            </w:pPr>
            <w:r>
              <w:rPr>
                <w:rFonts w:ascii="仿宋_GB2312" w:hAnsi="仿宋_GB2312" w:cs="仿宋_GB2312" w:eastAsia="仿宋_GB2312"/>
              </w:rPr>
              <w:t>银行账号：1033 0420 2038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计划委员会计价格[2002]1980号文件、国家发展改革委员会办公厅颁发的《关于招标代理服务收费有关问题的通知》（发改办价格[2003]857号）及《国家发展改革委关于进一步放开建设项目专业服务价格的通知》（发改价格〔2015〕299号）规定的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商洛职业技术学院</w:t>
      </w:r>
      <w:r>
        <w:rPr>
          <w:rFonts w:ascii="仿宋_GB2312" w:hAnsi="仿宋_GB2312" w:cs="仿宋_GB2312" w:eastAsia="仿宋_GB2312"/>
        </w:rPr>
        <w:t>和</w:t>
      </w:r>
      <w:r>
        <w:rPr>
          <w:rFonts w:ascii="仿宋_GB2312" w:hAnsi="仿宋_GB2312" w:cs="仿宋_GB2312" w:eastAsia="仿宋_GB2312"/>
        </w:rPr>
        <w:t>东方文璟项目管理有限公司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商洛职业技术学院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东方文璟项目管理有限公司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商洛职业技术学院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东方文璟项目管理有限公司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严格按照竞争性谈判文件和合同约定</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东方文璟项目管理有限公司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东方文璟项目管理有限公司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东方文璟项目管理有限公司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联系人：谢工</w:t>
      </w:r>
    </w:p>
    <w:p>
      <w:pPr>
        <w:pStyle w:val="null3"/>
      </w:pPr>
      <w:r>
        <w:rPr>
          <w:rFonts w:ascii="仿宋_GB2312" w:hAnsi="仿宋_GB2312" w:cs="仿宋_GB2312" w:eastAsia="仿宋_GB2312"/>
        </w:rPr>
        <w:t>联系电话：15229148829</w:t>
      </w:r>
    </w:p>
    <w:p>
      <w:pPr>
        <w:pStyle w:val="null3"/>
      </w:pPr>
      <w:r>
        <w:rPr>
          <w:rFonts w:ascii="仿宋_GB2312" w:hAnsi="仿宋_GB2312" w:cs="仿宋_GB2312" w:eastAsia="仿宋_GB2312"/>
        </w:rPr>
        <w:t>地址：陕西省商洛市商州区州城街翠湖明珠商铺三楼东户</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财务大数据实训室项目包含：财务大数据分析课程平台、智能教师终端、学生智能终端、实训工作台、综合布线五部分。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323,600.00</w:t>
      </w:r>
    </w:p>
    <w:p>
      <w:pPr>
        <w:pStyle w:val="null3"/>
      </w:pPr>
      <w:r>
        <w:rPr>
          <w:rFonts w:ascii="仿宋_GB2312" w:hAnsi="仿宋_GB2312" w:cs="仿宋_GB2312" w:eastAsia="仿宋_GB2312"/>
        </w:rPr>
        <w:t>采购包最高限价（元）: 323,600.00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财务大数据实训室设备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323,600.00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标的名称：财务大数据实训室设备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1、教学平台：应具备教务管理、课程管理、教学工具、实训、数据统计等功能。其中实训功能必须至少满足答案对比、业务系统两项。</w:t>
            </w:r>
            <w:r>
              <w:br/>
            </w:r>
            <w:r>
              <w:rPr>
                <w:rFonts w:ascii="仿宋_GB2312" w:hAnsi="仿宋_GB2312" w:cs="仿宋_GB2312" w:eastAsia="仿宋_GB2312"/>
              </w:rPr>
              <w:t xml:space="preserve"> 2、财务大数据分析数字课程：至少包括财务大数据认知、财务数据采集、财务数据预处理、企业财务报表分析、企业财务指标分析、企业经营数据分析、财税风险预警分析、财务分析报告编制8个项目，其中至少含20个任务。至少包含PPT、动画、视频等课程资源：其中电子教案PPT数量不少于20个；情景动画数量不少于20个；视频微课数量不少于50个，每个微课时长5-15分钟；随堂练习客观题数量不少于120道</w:t>
            </w:r>
            <w:r>
              <w:br/>
            </w:r>
            <w:r>
              <w:rPr>
                <w:rFonts w:ascii="仿宋_GB2312" w:hAnsi="仿宋_GB2312" w:cs="仿宋_GB2312" w:eastAsia="仿宋_GB2312"/>
              </w:rPr>
              <w:t xml:space="preserve"> 3、大数据分析系统：提供在线训练，供学生实务训练使用。学生采用个人测评训练方式，以企业真实财务数据为基础，通过贴近实务的实践课程训练，培养学生数据采集、数据清洗、标杆企业选择、行业企业财务大数据分析能力、财税风险预警、经营分析等相关动手操作能力。与教学系统、测评系统深度集成，并能进行试题自动评分，适用于《财务大数据分析》课程的教学和学生训练</w:t>
            </w:r>
            <w:r>
              <w:br/>
            </w:r>
            <w:r>
              <w:rPr>
                <w:rFonts w:ascii="仿宋_GB2312" w:hAnsi="仿宋_GB2312" w:cs="仿宋_GB2312" w:eastAsia="仿宋_GB2312"/>
              </w:rPr>
              <w:t xml:space="preserve"> 4、财务大数据分析测评训练包：提供一套完整的基于真实业务场景的在线训练包，供学生实务训练使用，学生采用个人测评训练方式，通过单项实训，以企业真实财务分析需求为基础。须包含直连数据源获取、网络数据源获取、数据清洗、数据集成、资产负债表分析、利润表分析、现金流量表分析、标杆企业对比分析、偿债能力分析、营运能力分析、盈利能力分析、发展能力分析、综合能力分析、行业竞争力分析、销售分析与预测、费用分析与洞察、资金分析与预测、税务风险预警分析、财务风险预警分析、分析报告撰写等不少于18项训练试题</w:t>
            </w:r>
            <w:r>
              <w:br/>
            </w:r>
            <w:r>
              <w:rPr>
                <w:rFonts w:ascii="仿宋_GB2312" w:hAnsi="仿宋_GB2312" w:cs="仿宋_GB2312" w:eastAsia="仿宋_GB2312"/>
              </w:rPr>
              <w:t xml:space="preserve"> 5、测评系统：测评系统包含随堂测验、课程考试以及课程成绩三个模块，可以全方位检测学生学习效果，并及时查漏补缺。</w:t>
            </w:r>
            <w:r>
              <w:br/>
            </w:r>
            <w:r>
              <w:rPr>
                <w:rFonts w:ascii="仿宋_GB2312" w:hAnsi="仿宋_GB2312" w:cs="仿宋_GB2312" w:eastAsia="仿宋_GB2312"/>
              </w:rPr>
              <w:t xml:space="preserve"> 6、财务大数据分析试题包：试题包题目须能紧密结合教学内容，试题包与大数据分析工具深度集成，能够做到平台自动跳转，学生答题进度跟踪，答题结果自动评分。提供1套试题包，每套试题题量大约在120-150分钟之间。试题包内容至少包括财务大数据认知、财务数据采集、财务数据预处理、企业财务报表分析、企业财务指标分析、企业经营数据分析、财税风险预警分析、财务分析报告撰写等八项，其中包括客观题和实操题两种类型。</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智能教师终端（1套）</w:t>
            </w:r>
            <w:r>
              <w:br/>
            </w:r>
            <w:r>
              <w:rPr>
                <w:rFonts w:ascii="仿宋_GB2312" w:hAnsi="仿宋_GB2312" w:cs="仿宋_GB2312" w:eastAsia="仿宋_GB2312"/>
              </w:rPr>
              <w:t xml:space="preserve"> 1.处理器：≥十核心/十六线程，基础频率≥2.3GHz，最高睿频≥4.7GHz，配备24MB三级缓存，终端体积≤2.5L。</w:t>
            </w:r>
            <w:r>
              <w:br/>
            </w:r>
            <w:r>
              <w:rPr>
                <w:rFonts w:ascii="仿宋_GB2312" w:hAnsi="仿宋_GB2312" w:cs="仿宋_GB2312" w:eastAsia="仿宋_GB2312"/>
              </w:rPr>
              <w:t xml:space="preserve"> 2.存储设备：内存容量≥ 32GB;内存类型DDR4及以上;内存插槽≥ 2个;固态硬盘容量 ≥1TB</w:t>
            </w:r>
            <w:r>
              <w:br/>
            </w:r>
            <w:r>
              <w:rPr>
                <w:rFonts w:ascii="仿宋_GB2312" w:hAnsi="仿宋_GB2312" w:cs="仿宋_GB2312" w:eastAsia="仿宋_GB2312"/>
              </w:rPr>
              <w:t xml:space="preserve"> 3.显卡：集成显卡（不低于64EU单元 1.5Ghz高频）。</w:t>
            </w:r>
            <w:r>
              <w:br/>
            </w:r>
            <w:r>
              <w:rPr>
                <w:rFonts w:ascii="仿宋_GB2312" w:hAnsi="仿宋_GB2312" w:cs="仿宋_GB2312" w:eastAsia="仿宋_GB2312"/>
              </w:rPr>
              <w:t xml:space="preserve"> 4.网络通信:配置不少于1个10/100M/1000M 自适应以太网;WiFi6+蓝牙5.2,；USB接口总数：不少于4个(其中 前置USB3.2 ：2个) 。</w:t>
            </w:r>
            <w:r>
              <w:br/>
            </w:r>
            <w:r>
              <w:rPr>
                <w:rFonts w:ascii="仿宋_GB2312" w:hAnsi="仿宋_GB2312" w:cs="仿宋_GB2312" w:eastAsia="仿宋_GB2312"/>
              </w:rPr>
              <w:t xml:space="preserve"> 5.音频接口： 前置面板：1×耳机输出接口，1×麦克风输入接口；后置面板：1×耳机输出接口，1×麦克风输入接口</w:t>
            </w:r>
            <w:r>
              <w:br/>
            </w:r>
            <w:r>
              <w:rPr>
                <w:rFonts w:ascii="仿宋_GB2312" w:hAnsi="仿宋_GB2312" w:cs="仿宋_GB2312" w:eastAsia="仿宋_GB2312"/>
              </w:rPr>
              <w:t xml:space="preserve"> 6.网络接口: 1×RJ45（网络接口）</w:t>
            </w:r>
            <w:r>
              <w:br/>
            </w:r>
            <w:r>
              <w:rPr>
                <w:rFonts w:ascii="仿宋_GB2312" w:hAnsi="仿宋_GB2312" w:cs="仿宋_GB2312" w:eastAsia="仿宋_GB2312"/>
              </w:rPr>
              <w:t xml:space="preserve"> 7.显示器不小于23.8寸，分辨率不低于1920*1080 HZ</w:t>
            </w:r>
            <w:r>
              <w:br/>
            </w:r>
            <w:r>
              <w:rPr>
                <w:rFonts w:ascii="仿宋_GB2312" w:hAnsi="仿宋_GB2312" w:cs="仿宋_GB2312" w:eastAsia="仿宋_GB2312"/>
              </w:rPr>
              <w:t xml:space="preserve"> 8.不少于三年的原厂售后服务。</w:t>
            </w:r>
            <w:r>
              <w:br/>
            </w:r>
            <w:r>
              <w:rPr>
                <w:rFonts w:ascii="仿宋_GB2312" w:hAnsi="仿宋_GB2312" w:cs="仿宋_GB2312" w:eastAsia="仿宋_GB2312"/>
              </w:rPr>
              <w:t xml:space="preserve"> 9.内置教师管理软件。</w:t>
            </w:r>
            <w:r>
              <w:br/>
            </w:r>
            <w:r>
              <w:rPr>
                <w:rFonts w:ascii="仿宋_GB2312" w:hAnsi="仿宋_GB2312" w:cs="仿宋_GB2312" w:eastAsia="仿宋_GB2312"/>
              </w:rPr>
              <w:t xml:space="preserve"> 核心功能模块：</w:t>
            </w:r>
            <w:r>
              <w:br/>
            </w:r>
            <w:r>
              <w:rPr>
                <w:rFonts w:ascii="仿宋_GB2312" w:hAnsi="仿宋_GB2312" w:cs="仿宋_GB2312" w:eastAsia="仿宋_GB2312"/>
              </w:rPr>
              <w:t xml:space="preserve"> 屏幕广播：支持全屏、窗口及局部区域广播模式，教师可选择性共享屏幕内容。</w:t>
            </w:r>
            <w:r>
              <w:br/>
            </w:r>
            <w:r>
              <w:rPr>
                <w:rFonts w:ascii="仿宋_GB2312" w:hAnsi="仿宋_GB2312" w:cs="仿宋_GB2312" w:eastAsia="仿宋_GB2312"/>
              </w:rPr>
              <w:t xml:space="preserve"> 采用数据压缩技术优化传输效率，保证音视频同步且支持ASF格式录制。</w:t>
            </w:r>
            <w:r>
              <w:br/>
            </w:r>
            <w:r>
              <w:rPr>
                <w:rFonts w:ascii="仿宋_GB2312" w:hAnsi="仿宋_GB2312" w:cs="仿宋_GB2312" w:eastAsia="仿宋_GB2312"/>
              </w:rPr>
              <w:t xml:space="preserve"> 远程控制与监控：教师可远程操作学生终端，实时监控学习状态并抓取快照</w:t>
            </w:r>
            <w:r>
              <w:br/>
            </w:r>
            <w:r>
              <w:rPr>
                <w:rFonts w:ascii="仿宋_GB2312" w:hAnsi="仿宋_GB2312" w:cs="仿宋_GB2312" w:eastAsia="仿宋_GB2312"/>
              </w:rPr>
              <w:t xml:space="preserve"> 提供远程设置功能：（如桌面主题、屏幕保护方案）和进程保护。</w:t>
            </w:r>
            <w:r>
              <w:br/>
            </w:r>
            <w:r>
              <w:rPr>
                <w:rFonts w:ascii="仿宋_GB2312" w:hAnsi="仿宋_GB2312" w:cs="仿宋_GB2312" w:eastAsia="仿宋_GB2312"/>
              </w:rPr>
              <w:t xml:space="preserve"> 班级与分组管理：支持创建班级模型，批量导入学生信息，实现座位表自动化管理</w:t>
            </w:r>
            <w:r>
              <w:br/>
            </w:r>
            <w:r>
              <w:rPr>
                <w:rFonts w:ascii="仿宋_GB2312" w:hAnsi="仿宋_GB2312" w:cs="仿宋_GB2312" w:eastAsia="仿宋_GB2312"/>
              </w:rPr>
              <w:t xml:space="preserve"> 灵活分组功能支持课堂讨论、任务协作，分组信息可永久保存复用。</w:t>
            </w:r>
            <w:r>
              <w:br/>
            </w:r>
            <w:r>
              <w:rPr>
                <w:rFonts w:ascii="仿宋_GB2312" w:hAnsi="仿宋_GB2312" w:cs="仿宋_GB2312" w:eastAsia="仿宋_GB2312"/>
              </w:rPr>
              <w:t xml:space="preserve"> 教学辅助工具；文件分发与作业提交：教师可一键分发学习资料，学生端支持作业在线提交与批改。</w:t>
            </w:r>
            <w:r>
              <w:br/>
            </w:r>
            <w:r>
              <w:rPr>
                <w:rFonts w:ascii="仿宋_GB2312" w:hAnsi="仿宋_GB2312" w:cs="仿宋_GB2312" w:eastAsia="仿宋_GB2312"/>
              </w:rPr>
              <w:t xml:space="preserve"> 随堂小考与系统日志：快速发起课堂测验并即时统计结果，自动记录设备使用及学生行为数据。</w:t>
            </w:r>
            <w:r>
              <w:br/>
            </w:r>
            <w:r>
              <w:rPr>
                <w:rFonts w:ascii="仿宋_GB2312" w:hAnsi="仿宋_GB2312" w:cs="仿宋_GB2312" w:eastAsia="仿宋_GB2312"/>
              </w:rPr>
              <w:t xml:space="preserve"> 即时通讯：内置课堂消息系统促进师生互动，支持解除控制功能以增强学生自主性。</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学生智能终端（45套）</w:t>
            </w:r>
            <w:r>
              <w:br/>
            </w:r>
            <w:r>
              <w:rPr>
                <w:rFonts w:ascii="仿宋_GB2312" w:hAnsi="仿宋_GB2312" w:cs="仿宋_GB2312" w:eastAsia="仿宋_GB2312"/>
              </w:rPr>
              <w:t xml:space="preserve"> 1.处理器：≥十核心/十六线程，基础频率≥2.3GHz，最高睿频≥4.7GHz，配备24MB三级缓存，终端体积≤2.5L。</w:t>
            </w:r>
            <w:r>
              <w:br/>
            </w:r>
            <w:r>
              <w:rPr>
                <w:rFonts w:ascii="仿宋_GB2312" w:hAnsi="仿宋_GB2312" w:cs="仿宋_GB2312" w:eastAsia="仿宋_GB2312"/>
              </w:rPr>
              <w:t xml:space="preserve"> 2.存储设备：内存容量≥ 16GB;内存类型DDR4及以上;内存插槽≥ 2个;固态硬盘容量 ≥512GB</w:t>
            </w:r>
            <w:r>
              <w:br/>
            </w:r>
            <w:r>
              <w:rPr>
                <w:rFonts w:ascii="仿宋_GB2312" w:hAnsi="仿宋_GB2312" w:cs="仿宋_GB2312" w:eastAsia="仿宋_GB2312"/>
              </w:rPr>
              <w:t xml:space="preserve"> 3.显卡：集成显卡（不低于64EU单元 1.5Ghz高频）.</w:t>
            </w:r>
            <w:r>
              <w:br/>
            </w:r>
            <w:r>
              <w:rPr>
                <w:rFonts w:ascii="仿宋_GB2312" w:hAnsi="仿宋_GB2312" w:cs="仿宋_GB2312" w:eastAsia="仿宋_GB2312"/>
              </w:rPr>
              <w:t xml:space="preserve"> 4.网络通信:配置不少于1个10/100M/1000M 自适应以太网;WiFi6+蓝牙5.2,；USB接口总数：不少于4个(其中 前置USB3.2 ：2个) 。</w:t>
            </w:r>
            <w:r>
              <w:br/>
            </w:r>
            <w:r>
              <w:rPr>
                <w:rFonts w:ascii="仿宋_GB2312" w:hAnsi="仿宋_GB2312" w:cs="仿宋_GB2312" w:eastAsia="仿宋_GB2312"/>
              </w:rPr>
              <w:t xml:space="preserve"> 5.音频接口： 前置面板：1×耳机输出接口，1×麦克风输入接口；后置面板：1×耳机输出接口，1×麦克风输入接口</w:t>
            </w:r>
            <w:r>
              <w:br/>
            </w:r>
            <w:r>
              <w:rPr>
                <w:rFonts w:ascii="仿宋_GB2312" w:hAnsi="仿宋_GB2312" w:cs="仿宋_GB2312" w:eastAsia="仿宋_GB2312"/>
              </w:rPr>
              <w:t xml:space="preserve"> 6.网络接口: 1×RJ45（网络接口）</w:t>
            </w:r>
            <w:r>
              <w:br/>
            </w:r>
            <w:r>
              <w:rPr>
                <w:rFonts w:ascii="仿宋_GB2312" w:hAnsi="仿宋_GB2312" w:cs="仿宋_GB2312" w:eastAsia="仿宋_GB2312"/>
              </w:rPr>
              <w:t xml:space="preserve"> 7.显示器不小于23.8寸，分辨率不低于1920*1080 HZ</w:t>
            </w:r>
            <w:r>
              <w:br/>
            </w:r>
            <w:r>
              <w:rPr>
                <w:rFonts w:ascii="仿宋_GB2312" w:hAnsi="仿宋_GB2312" w:cs="仿宋_GB2312" w:eastAsia="仿宋_GB2312"/>
              </w:rPr>
              <w:t xml:space="preserve"> 8.不少于三年的原厂售后服务。</w:t>
            </w:r>
            <w:r>
              <w:br/>
            </w:r>
            <w:r>
              <w:rPr>
                <w:rFonts w:ascii="仿宋_GB2312" w:hAnsi="仿宋_GB2312" w:cs="仿宋_GB2312" w:eastAsia="仿宋_GB2312"/>
              </w:rPr>
              <w:t xml:space="preserve"> 9.内置教师管理软件：</w:t>
            </w:r>
            <w:r>
              <w:br/>
            </w:r>
            <w:r>
              <w:rPr>
                <w:rFonts w:ascii="仿宋_GB2312" w:hAnsi="仿宋_GB2312" w:cs="仿宋_GB2312" w:eastAsia="仿宋_GB2312"/>
              </w:rPr>
              <w:t xml:space="preserve"> 核心功能模块：</w:t>
            </w:r>
            <w:r>
              <w:br/>
            </w:r>
            <w:r>
              <w:rPr>
                <w:rFonts w:ascii="仿宋_GB2312" w:hAnsi="仿宋_GB2312" w:cs="仿宋_GB2312" w:eastAsia="仿宋_GB2312"/>
              </w:rPr>
              <w:t xml:space="preserve"> 屏幕广播：支持全屏、窗口及局部区域广播模式，教师可选择性共享屏幕内容</w:t>
            </w:r>
            <w:r>
              <w:br/>
            </w:r>
            <w:r>
              <w:rPr>
                <w:rFonts w:ascii="仿宋_GB2312" w:hAnsi="仿宋_GB2312" w:cs="仿宋_GB2312" w:eastAsia="仿宋_GB2312"/>
              </w:rPr>
              <w:t xml:space="preserve"> 采用数据压缩技术优化传输效率，保证音视频同步且支持ASF格式录制。</w:t>
            </w:r>
            <w:r>
              <w:br/>
            </w:r>
            <w:r>
              <w:rPr>
                <w:rFonts w:ascii="仿宋_GB2312" w:hAnsi="仿宋_GB2312" w:cs="仿宋_GB2312" w:eastAsia="仿宋_GB2312"/>
              </w:rPr>
              <w:t xml:space="preserve"> 远程控制与监控：教师可远程操作学生终端，实时监控学习状态并抓取快照。</w:t>
            </w:r>
            <w:r>
              <w:br/>
            </w:r>
            <w:r>
              <w:rPr>
                <w:rFonts w:ascii="仿宋_GB2312" w:hAnsi="仿宋_GB2312" w:cs="仿宋_GB2312" w:eastAsia="仿宋_GB2312"/>
              </w:rPr>
              <w:t xml:space="preserve"> 提供远程设置功能：（如桌面主题、屏幕保护方案）和进程保护。</w:t>
            </w:r>
            <w:r>
              <w:br/>
            </w:r>
            <w:r>
              <w:rPr>
                <w:rFonts w:ascii="仿宋_GB2312" w:hAnsi="仿宋_GB2312" w:cs="仿宋_GB2312" w:eastAsia="仿宋_GB2312"/>
              </w:rPr>
              <w:t xml:space="preserve"> 班级与分组管理：支持创建班级模型，批量导入学生信息，实现座位表自动化管理</w:t>
            </w:r>
            <w:r>
              <w:br/>
            </w:r>
            <w:r>
              <w:rPr>
                <w:rFonts w:ascii="仿宋_GB2312" w:hAnsi="仿宋_GB2312" w:cs="仿宋_GB2312" w:eastAsia="仿宋_GB2312"/>
              </w:rPr>
              <w:t xml:space="preserve"> 灵活分组功能支持课堂讨论、任务协作，分组信息可永久保存复用。</w:t>
            </w:r>
            <w:r>
              <w:br/>
            </w:r>
            <w:r>
              <w:rPr>
                <w:rFonts w:ascii="仿宋_GB2312" w:hAnsi="仿宋_GB2312" w:cs="仿宋_GB2312" w:eastAsia="仿宋_GB2312"/>
              </w:rPr>
              <w:t xml:space="preserve"> 教学辅助工具；文件分发与作业提交：教师可一键分发学习资料，学生端支持作业在线提交与批改。</w:t>
            </w:r>
            <w:r>
              <w:br/>
            </w:r>
            <w:r>
              <w:rPr>
                <w:rFonts w:ascii="仿宋_GB2312" w:hAnsi="仿宋_GB2312" w:cs="仿宋_GB2312" w:eastAsia="仿宋_GB2312"/>
              </w:rPr>
              <w:t xml:space="preserve"> 随堂小考与系统日志：快速发起课堂测验并即时统计结果，自动记录设备使用及学生行为数据。</w:t>
            </w:r>
            <w:r>
              <w:br/>
            </w:r>
            <w:r>
              <w:rPr>
                <w:rFonts w:ascii="仿宋_GB2312" w:hAnsi="仿宋_GB2312" w:cs="仿宋_GB2312" w:eastAsia="仿宋_GB2312"/>
              </w:rPr>
              <w:t xml:space="preserve"> 即时通讯：内置课堂消息系统促进师生互动，支持解除控制功能以增强学生自主性。</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（1）学生工作台（45套）</w:t>
            </w:r>
            <w:r>
              <w:br/>
            </w:r>
            <w:r>
              <w:rPr>
                <w:rFonts w:ascii="仿宋_GB2312" w:hAnsi="仿宋_GB2312" w:cs="仿宋_GB2312" w:eastAsia="仿宋_GB2312"/>
              </w:rPr>
              <w:t xml:space="preserve"> 形状五边形台面参数：边长950mm，钢木结构，台面采用25mm厚E1级环保实木颗粒板，PVC封边处理，桌腿采用1.2mm厚50圆管高频焊接钢管，桌下带板式主机箱，配件采用优质五金件。颜色可选择。</w:t>
            </w:r>
            <w:r>
              <w:br/>
            </w:r>
            <w:r>
              <w:rPr>
                <w:rFonts w:ascii="仿宋_GB2312" w:hAnsi="仿宋_GB2312" w:cs="仿宋_GB2312" w:eastAsia="仿宋_GB2312"/>
              </w:rPr>
              <w:t xml:space="preserve"> 方凳钢木结构，尺寸：340*240*420mm，台面采用25mmE1级环保实木颗粒板，四周PVC封边。凳腿采用25*25*1.0高频焊接钢管，辅料采用20*20*1.0高频焊接钢管，脚套采用优质ABS塑料件，静音耐磨防滑。</w:t>
            </w:r>
            <w:r>
              <w:br/>
            </w:r>
            <w:r>
              <w:rPr>
                <w:rFonts w:ascii="仿宋_GB2312" w:hAnsi="仿宋_GB2312" w:cs="仿宋_GB2312" w:eastAsia="仿宋_GB2312"/>
              </w:rPr>
              <w:t xml:space="preserve"> （2）教师工作台（1套）</w:t>
            </w:r>
            <w:r>
              <w:br/>
            </w:r>
            <w:r>
              <w:rPr>
                <w:rFonts w:ascii="仿宋_GB2312" w:hAnsi="仿宋_GB2312" w:cs="仿宋_GB2312" w:eastAsia="仿宋_GB2312"/>
              </w:rPr>
              <w:t xml:space="preserve"> 参数尺寸：1800*750*750mm，台面采用25mm厚E1级环保实木颗粒板，桌体采用16mm厚E1级环保实木颗粒板。PVC封边，下面可放交换机，可以放功放，配件采用优质五金件。</w:t>
            </w:r>
            <w:r>
              <w:br/>
            </w:r>
            <w:r>
              <w:rPr>
                <w:rFonts w:ascii="仿宋_GB2312" w:hAnsi="仿宋_GB2312" w:cs="仿宋_GB2312" w:eastAsia="仿宋_GB2312"/>
              </w:rPr>
              <w:t xml:space="preserve"> 教师椅参数：背框：优质工程料PP+纤;;</w:t>
            </w:r>
            <w:r>
              <w:br/>
            </w:r>
            <w:r>
              <w:rPr>
                <w:rFonts w:ascii="仿宋_GB2312" w:hAnsi="仿宋_GB2312" w:cs="仿宋_GB2312" w:eastAsia="仿宋_GB2312"/>
              </w:rPr>
              <w:t xml:space="preserve"> 面料：优质透气网布;</w:t>
            </w:r>
            <w:r>
              <w:br/>
            </w:r>
            <w:r>
              <w:rPr>
                <w:rFonts w:ascii="仿宋_GB2312" w:hAnsi="仿宋_GB2312" w:cs="仿宋_GB2312" w:eastAsia="仿宋_GB2312"/>
              </w:rPr>
              <w:t xml:space="preserve"> 座垫：高密度海绵，回弹效果好;</w:t>
            </w:r>
            <w:r>
              <w:br/>
            </w:r>
            <w:r>
              <w:rPr>
                <w:rFonts w:ascii="仿宋_GB2312" w:hAnsi="仿宋_GB2312" w:cs="仿宋_GB2312" w:eastAsia="仿宋_GB2312"/>
              </w:rPr>
              <w:t xml:space="preserve"> 扶手：PP+纤固定扶手</w:t>
            </w:r>
            <w:r>
              <w:br/>
            </w:r>
            <w:r>
              <w:rPr>
                <w:rFonts w:ascii="仿宋_GB2312" w:hAnsi="仿宋_GB2312" w:cs="仿宋_GB2312" w:eastAsia="仿宋_GB2312"/>
              </w:rPr>
              <w:t xml:space="preserve"> 底盘：2.0加厚蝴蝶底盘（可升降、旋转、逍遥）</w:t>
            </w:r>
            <w:r>
              <w:br/>
            </w:r>
            <w:r>
              <w:rPr>
                <w:rFonts w:ascii="仿宋_GB2312" w:hAnsi="仿宋_GB2312" w:cs="仿宋_GB2312" w:eastAsia="仿宋_GB2312"/>
              </w:rPr>
              <w:t xml:space="preserve"> 气杆：100行程黑色气杆</w:t>
            </w:r>
            <w:r>
              <w:br/>
            </w:r>
            <w:r>
              <w:rPr>
                <w:rFonts w:ascii="仿宋_GB2312" w:hAnsi="仿宋_GB2312" w:cs="仿宋_GB2312" w:eastAsia="仿宋_GB2312"/>
              </w:rPr>
              <w:t xml:space="preserve"> 五星脚：320黑色尼龙脚</w:t>
            </w:r>
            <w:r>
              <w:br/>
            </w:r>
            <w:r>
              <w:rPr>
                <w:rFonts w:ascii="仿宋_GB2312" w:hAnsi="仿宋_GB2312" w:cs="仿宋_GB2312" w:eastAsia="仿宋_GB2312"/>
              </w:rPr>
              <w:t xml:space="preserve"> 轮子：50mm黑色PU轮子</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1.强电部分：根据现场实际情况进行布局，在室内安装系统空气开关；主电路采用6平方国标铜芯线，终端接入线不低于国标1平方全铜芯电源线，采用公牛4位3孔插座接入应用终端。</w:t>
            </w:r>
            <w:r>
              <w:br/>
            </w:r>
            <w:r>
              <w:rPr>
                <w:rFonts w:ascii="仿宋_GB2312" w:hAnsi="仿宋_GB2312" w:cs="仿宋_GB2312" w:eastAsia="仿宋_GB2312"/>
              </w:rPr>
              <w:t xml:space="preserve"> 2.弱电部分：根据应用终端摆放情况进行布局，从网络交换机到终端必须采用国标六类非屏蔽网络线连通，每个终端一条网络线。每条网络线头必须按顺序标记条码记号，便于维修和快速查找；机柜端必须对交换机做详细标注同时对网络线头要有条码记号。</w:t>
            </w:r>
            <w:r>
              <w:br/>
            </w:r>
            <w:r>
              <w:rPr>
                <w:rFonts w:ascii="仿宋_GB2312" w:hAnsi="仿宋_GB2312" w:cs="仿宋_GB2312" w:eastAsia="仿宋_GB2312"/>
              </w:rPr>
              <w:t xml:space="preserve"> 3.辅材部分：网络机柜到应用终端的强电弱点必须采用钢槽贴地保护线路，钢槽内置强弱电隔离板。局域网组建所需材料不以材料分项数量计算，按照说明要求提供足够的电源线、六类非屏蔽网络线、插座、水晶头、钢槽及系统辅材的数量。</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自合同签订之日起20日内完成供货、安装、调试等全部工作内容</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设备交付验收合格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自交付之日起使用满一年无质里问题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满足甲方需求，单位组织验收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所有设备提供免费保修一年，提供终身技术支持</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甲乙双方先通过协商，协商无效则通过诉讼途径解决</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供应商须提供的资格证明文件.docx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在营业执照中需要具有相关资质</w:t>
            </w:r>
          </w:p>
        </w:tc>
        <w:tc>
          <w:tcPr>
            <w:tcW w:type="dxa" w:w="3322"/>
          </w:tcPr>
          <w:p>
            <w:pPr>
              <w:pStyle w:val="null3"/>
            </w:pPr>
            <w:r>
              <w:rPr>
                <w:rFonts w:ascii="仿宋_GB2312" w:hAnsi="仿宋_GB2312" w:cs="仿宋_GB2312" w:eastAsia="仿宋_GB2312"/>
              </w:rPr>
              <w:t>投标人为合法注册的法人、其他组织或自然人，具有独立承担民事责任的能力，提供统一社会信用代码的营业执照（或事业法人证），投标人为自然人的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供应商须提供的资格证明文件.docx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提供法人授权委托书或法人身份证明</w:t>
            </w:r>
          </w:p>
        </w:tc>
        <w:tc>
          <w:tcPr>
            <w:tcW w:type="dxa" w:w="3322"/>
          </w:tcPr>
          <w:p>
            <w:pPr>
              <w:pStyle w:val="null3"/>
            </w:pPr>
            <w:r>
              <w:rPr>
                <w:rFonts w:ascii="仿宋_GB2312" w:hAnsi="仿宋_GB2312" w:cs="仿宋_GB2312" w:eastAsia="仿宋_GB2312"/>
              </w:rPr>
              <w:t>法定代表人授权委托书原件（附法人及被授权人身份证复印件加盖公章）、被授权人身份证原件（法定代表人参加投标时,只需提供法定代表人身份身份证明及身份证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供应商须提供的资格证明文件.docx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完整的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需同时附基本开户许可证或基本存款账户信息），或信用担保机构出具的投标担保函（以上三种形式的资料提供任何一种即可）；供应商需在项目电子化交易系统中按要求上传相应证明文件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供应商须提供的资格证明文件.docx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投标人，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供应商须提供的资格证明文件.docx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供应商须提供的资格证明文件.docx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无重大违法、违纪书面声明</w:t>
            </w:r>
          </w:p>
        </w:tc>
        <w:tc>
          <w:tcPr>
            <w:tcW w:type="dxa" w:w="3322"/>
          </w:tcPr>
          <w:p>
            <w:pPr>
              <w:pStyle w:val="null3"/>
            </w:pPr>
            <w:r>
              <w:rPr>
                <w:rFonts w:ascii="仿宋_GB2312" w:hAnsi="仿宋_GB2312" w:cs="仿宋_GB2312" w:eastAsia="仿宋_GB2312"/>
              </w:rPr>
              <w:t>提供近三年内无重大违法、违纪书面声明。供应商需在项目电子化交易系统中按要求上传相应证明文件并进行电子签章；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供应商须提供的资格证明文件.docx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投标人未被“中国执行信息公开（https://zxgk.court.gov.cn/shixin/）”列入失信被执行人、“信用中国”网站(www.creditchina.gov.cn)列入重大税收违法失信主体，未被中国政府采购(www.ccgp.gov.cn)列入政府采购严重违法失信行为记录名单（提供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供应商须提供的资格证明文件.docx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履约能力声明函</w:t>
            </w:r>
          </w:p>
        </w:tc>
        <w:tc>
          <w:tcPr>
            <w:tcW w:type="dxa" w:w="3322"/>
          </w:tcPr>
          <w:p>
            <w:pPr>
              <w:pStyle w:val="null3"/>
            </w:pPr>
            <w:r>
              <w:rPr>
                <w:rFonts w:ascii="仿宋_GB2312" w:hAnsi="仿宋_GB2312" w:cs="仿宋_GB2312" w:eastAsia="仿宋_GB2312"/>
              </w:rPr>
              <w:t>具有履行合同所必需的设备和专业技术能力；未为本项目提供整体设计、规范编制或者项目管理、监理、检测等服务；供应商需在项目电子化交易系统中按要求上传相应证明文件并进行电子签章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供应商须提供的资格证明文件.docx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供应商须提供的资格证明文件.docx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供应商须提供的资格证明文件.docx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设备交付验收合格 ，达到付款条件起 30 日内，支付合同总金额的 95.00%。自交付之日起使用满一年无质里问题 ，达到付款条件起 30 日内，支付合同总金额的 5.00%。</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自合同签订之日起20日内完成供货、安装、调试等全部工作内容</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1、《产品技术参数表》应响应谈判要求，有一项负偏离按无效标处理。2、《报价表》、《标的清单》己提供且谈判总报价未超过本项目最高限价；</w:t>
            </w:r>
          </w:p>
        </w:tc>
        <w:tc>
          <w:tcPr>
            <w:tcW w:type="dxa" w:w="1661"/>
          </w:tcPr>
          <w:p>
            <w:pPr>
              <w:pStyle w:val="null3"/>
            </w:pPr>
            <w:r>
              <w:rPr>
                <w:rFonts w:ascii="仿宋_GB2312" w:hAnsi="仿宋_GB2312" w:cs="仿宋_GB2312" w:eastAsia="仿宋_GB2312"/>
              </w:rPr>
              <w:t>产品技术参数表 商务应答表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投标有效期不少于90天</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所有设备提供免费保修一年，提供终身技术支持</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详见附件：供应商须提供的资格证明文件.docx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