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  <w:lang w:eastAsia="zh-CN"/>
        </w:rPr>
        <w:t>劳务派遣</w:t>
      </w: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证合法有效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（一）供应商参加本项目采购活动，须劳务派遣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证合法有效。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（二）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供应商须在陕西省电子化采购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电子化交易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系统中上传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  <w:lang w:eastAsia="zh-CN"/>
        </w:rPr>
        <w:t>劳务派遣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证证书原件的扫描件，并进行电子签章。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FD37A78"/>
    <w:rsid w:val="1FD37A78"/>
    <w:rsid w:val="47853226"/>
    <w:rsid w:val="7CF577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2024-12-03T07:27:00Z</dcterms:created>
  <dc:creator>Administrator</dc:creator>
  <cp:lastModifiedBy>李平</cp:lastModifiedBy>
  <dcterms:modified xsi:type="dcterms:W3CDTF">2025-09-24T03:48:33Z</dcterms:modified>
  <dc:title>劳务派遣证合法有效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