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版本号：ZTGX-2025-04220251212001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《商洛市“十五五”水安全保障规划》、《商洛市“十五五”水资源保护利用规划》编制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ZTGX-2025-042</w:t>
      </w:r>
      <w:r>
        <w:br/>
      </w:r>
      <w:r>
        <w:br/>
      </w:r>
      <w:r>
        <w:br/>
      </w:r>
    </w:p>
    <w:p>
      <w:pPr>
        <w:pStyle w:val="null3"/>
        <w:jc w:val="center"/>
        <w:outlineLvl w:val="2"/>
      </w:pPr>
      <w:r>
        <w:rPr>
          <w:rFonts w:ascii="仿宋_GB2312" w:hAnsi="仿宋_GB2312" w:cs="仿宋_GB2312" w:eastAsia="仿宋_GB2312"/>
          <w:sz w:val="28"/>
          <w:b/>
        </w:rPr>
        <w:t>商洛市水利局</w:t>
      </w:r>
    </w:p>
    <w:p>
      <w:pPr>
        <w:pStyle w:val="null3"/>
        <w:jc w:val="center"/>
        <w:outlineLvl w:val="2"/>
      </w:pPr>
      <w:r>
        <w:rPr>
          <w:rFonts w:ascii="仿宋_GB2312" w:hAnsi="仿宋_GB2312" w:cs="仿宋_GB2312" w:eastAsia="仿宋_GB2312"/>
          <w:sz w:val="28"/>
          <w:b/>
        </w:rPr>
        <w:t>陕西中天国信项目管理有限公司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陕西中天国信项目管理有限公司</w:t>
      </w:r>
      <w:r>
        <w:rPr>
          <w:rFonts w:ascii="仿宋_GB2312" w:hAnsi="仿宋_GB2312" w:cs="仿宋_GB2312" w:eastAsia="仿宋_GB2312"/>
        </w:rPr>
        <w:t>（以下简称“代理机构”）受</w:t>
      </w:r>
      <w:r>
        <w:rPr>
          <w:rFonts w:ascii="仿宋_GB2312" w:hAnsi="仿宋_GB2312" w:cs="仿宋_GB2312" w:eastAsia="仿宋_GB2312"/>
        </w:rPr>
        <w:t>商洛市水利局</w:t>
      </w:r>
      <w:r>
        <w:rPr>
          <w:rFonts w:ascii="仿宋_GB2312" w:hAnsi="仿宋_GB2312" w:cs="仿宋_GB2312" w:eastAsia="仿宋_GB2312"/>
        </w:rPr>
        <w:t>委托，拟对</w:t>
      </w:r>
      <w:r>
        <w:rPr>
          <w:rFonts w:ascii="仿宋_GB2312" w:hAnsi="仿宋_GB2312" w:cs="仿宋_GB2312" w:eastAsia="仿宋_GB2312"/>
        </w:rPr>
        <w:t>《商洛市“十五五”水安全保障规划》、《商洛市“十五五”水资源保护利用规划》编制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ZTGX-2025-042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《商洛市“十五五”水安全保障规划》、《商洛市“十五五”水资源保护利用规划》编制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十五五”水安全保障规划》及《商洛市“十五五”水资源保护与利用规划》编制工作。是全市水利发展第十五个五年规划，范围涵盖商洛市全域，作为指导未来五年商洛市水安全保障及水资源保护和开发利用的依据和指导，服务全市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采购包1（《商洛市“十五五”水安全保障规划》、《商洛市“十五五”水资源保护利用规划》编制）：属于专门面向中小企业采购。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能力的企业法人、事业法人或其他组织：供应商须具有独立承担民事责任能力的企业法人、事业法人或其他组织，须提供企业法人的营业执照副本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3、财务状况报告：提供2024年度完整的财务审计报告（成立时间不足一年的，提供基本存款账户开户银行出具的资信证明及成立以来的财务报表，至少包括资产负债表、利润表、现金流量；），或开标时间前三个月内其基本存款账户开户银行出具的资信证明，其他组织和自然人提供银行出具的资信证明；</w:t>
      </w:r>
    </w:p>
    <w:p>
      <w:pPr>
        <w:pStyle w:val="null3"/>
      </w:pPr>
      <w:r>
        <w:rPr>
          <w:rFonts w:ascii="仿宋_GB2312" w:hAnsi="仿宋_GB2312" w:cs="仿宋_GB2312" w:eastAsia="仿宋_GB2312"/>
        </w:rPr>
        <w:t>4、税收缴纳证明：供应商须提供2024年12月至今已缴纳的至少一个月的纳税证明或完税证明，依法免税的单位应提供相关证明材料；</w:t>
      </w:r>
    </w:p>
    <w:p>
      <w:pPr>
        <w:pStyle w:val="null3"/>
      </w:pPr>
      <w:r>
        <w:rPr>
          <w:rFonts w:ascii="仿宋_GB2312" w:hAnsi="仿宋_GB2312" w:cs="仿宋_GB2312" w:eastAsia="仿宋_GB2312"/>
        </w:rPr>
        <w:t>5、社会养老保障资金缴纳证明：供应商须提供2024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誉：对列入“信用中国”网站(www.creditchina.gov.cn)“记录失信被执行人和重大税收违法案件当事人名单；中国政府采购网(www.ccgp.gov.cn)“政府采购严重违法失信行为信息记录”的单位，拒绝参与政府采购活动；</w:t>
      </w:r>
    </w:p>
    <w:p>
      <w:pPr>
        <w:pStyle w:val="null3"/>
      </w:pPr>
      <w:r>
        <w:rPr>
          <w:rFonts w:ascii="仿宋_GB2312" w:hAnsi="仿宋_GB2312" w:cs="仿宋_GB2312" w:eastAsia="仿宋_GB2312"/>
        </w:rPr>
        <w:t>7、参加政府采购活动前3年内在经营活动中没有重大违法记录的书面声明；：提供书面声明</w:t>
      </w:r>
    </w:p>
    <w:p>
      <w:pPr>
        <w:pStyle w:val="null3"/>
      </w:pPr>
      <w:r>
        <w:rPr>
          <w:rFonts w:ascii="仿宋_GB2312" w:hAnsi="仿宋_GB2312" w:cs="仿宋_GB2312" w:eastAsia="仿宋_GB2312"/>
        </w:rPr>
        <w:t>8、供应商特定资格要求：供应商须具备有效的国家行政主管部门版发的【水利行业乙级设计资质】及以上资质，并在人员、设备、资金等方面具备相应的设计能力，拟派项目负责人需具备水利相关专业中级及以上工程师职称;</w:t>
      </w:r>
    </w:p>
    <w:p>
      <w:pPr>
        <w:pStyle w:val="null3"/>
      </w:pPr>
      <w:r>
        <w:rPr>
          <w:rFonts w:ascii="仿宋_GB2312" w:hAnsi="仿宋_GB2312" w:cs="仿宋_GB2312" w:eastAsia="仿宋_GB2312"/>
        </w:rPr>
        <w:t>9、本项目不接受联合体投标：提供承诺书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商洛市北新街134号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13991448636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陕西中天国信项目管理有限公司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陕西省商洛市商州区朝阳路城投公司东隔壁二楼开标室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15129148490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开户名称：陕西中天国信项目管理有限公司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银行账号：2608070409200065897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实际成交金额按服务类标准收取，参照原国家计委《关于印发招标代理服务收费管理暂行办法的通知》（计价格[2002]1980号）、发改办价格[2003]857号及国家发改委发改价格(2011)534号文件规定收费标准计取该项目招标代理费，由中标单位在领取中标通知书前向陕西中天国信项目管理有限公司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商洛市水利局</w:t>
      </w:r>
      <w:r>
        <w:rPr>
          <w:rFonts w:ascii="仿宋_GB2312" w:hAnsi="仿宋_GB2312" w:cs="仿宋_GB2312" w:eastAsia="仿宋_GB2312"/>
        </w:rPr>
        <w:t>和</w:t>
      </w:r>
      <w:r>
        <w:rPr>
          <w:rFonts w:ascii="仿宋_GB2312" w:hAnsi="仿宋_GB2312" w:cs="仿宋_GB2312" w:eastAsia="仿宋_GB2312"/>
        </w:rPr>
        <w:t>陕西中天国信项目管理有限公司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陕西中天国信项目管理有限公司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陕西中天国信项目管理有限公司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按照相关法律规范、规定。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联系电话：15129148490</w:t>
      </w:r>
    </w:p>
    <w:p>
      <w:pPr>
        <w:pStyle w:val="null3"/>
      </w:pPr>
      <w:r>
        <w:rPr>
          <w:rFonts w:ascii="仿宋_GB2312" w:hAnsi="仿宋_GB2312" w:cs="仿宋_GB2312" w:eastAsia="仿宋_GB2312"/>
        </w:rPr>
        <w:t>地址：陕西省商洛市商州区朝阳路城投公司东隔壁二楼开标室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十五五”水安全保障规划》及《商洛市“十五五”水资源保护与利用规划》编制工作。本规划是全市水利发展第十五个五年规划，范围涵盖商洛市全域，作为指导未来五年商洛市水安全保障及水资源保护和开发利用的依据和指导，服务全市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《商洛市“十五五”水安全保障规划》、《商洛市“十五五”水资源保护利用规划》编制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标的名称：《商洛市“十五五”水安全保障规划》、《商洛市“十五五”水资源保护利用规划》编制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37"/>
              <w:jc w:val="both"/>
            </w:pPr>
            <w:r>
              <w:rPr>
                <w:rFonts w:ascii="仿宋_GB2312" w:hAnsi="仿宋_GB2312" w:cs="仿宋_GB2312" w:eastAsia="仿宋_GB2312"/>
                <w:sz w:val="30"/>
              </w:rPr>
              <w:t>1、规划成果须满足总体规划阶段的深度要求，内容完整、数据准确、逻辑严谨。</w:t>
            </w:r>
          </w:p>
          <w:p>
            <w:pPr>
              <w:pStyle w:val="null3"/>
              <w:ind w:firstLine="600"/>
              <w:jc w:val="both"/>
            </w:pPr>
            <w:r>
              <w:rPr>
                <w:rFonts w:ascii="仿宋_GB2312" w:hAnsi="仿宋_GB2312" w:cs="仿宋_GB2312" w:eastAsia="仿宋_GB2312"/>
                <w:sz w:val="30"/>
              </w:rPr>
              <w:t>2、符合国家行业及现行技术规范与标准，严格衔接国家、省级及县区相关规划，确保通过专家组技术审查。</w:t>
            </w:r>
          </w:p>
          <w:p>
            <w:pPr>
              <w:pStyle w:val="null3"/>
              <w:ind w:firstLine="537"/>
              <w:jc w:val="both"/>
            </w:pPr>
            <w:r>
              <w:rPr>
                <w:rFonts w:ascii="仿宋_GB2312" w:hAnsi="仿宋_GB2312" w:cs="仿宋_GB2312" w:eastAsia="仿宋_GB2312"/>
                <w:sz w:val="30"/>
              </w:rPr>
              <w:t>3、突出科学性、指导性和精准性，项目库分类清晰，“一张图”直观呈现规划总体布局和核心内容。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按照相关法律规范、规定。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经专家组审核通过，并经市水利局会议研究通过后半个月内付清服务费。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按照相关法律规范、规定。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供应商须具有独立承担民事责任能力的企业法人、事业法人或其他组织</w:t>
            </w:r>
          </w:p>
        </w:tc>
        <w:tc>
          <w:tcPr>
            <w:tcW w:type="dxa" w:w="3322"/>
          </w:tcPr>
          <w:p>
            <w:pPr>
              <w:pStyle w:val="null3"/>
            </w:pPr>
            <w:r>
              <w:rPr>
                <w:rFonts w:ascii="仿宋_GB2312" w:hAnsi="仿宋_GB2312" w:cs="仿宋_GB2312" w:eastAsia="仿宋_GB2312"/>
              </w:rPr>
              <w:t>供应商须具有独立承担民事责任能力的企业法人、事业法人或其他组织，须提供企业法人的营业执照副本或事业单位法人证书等国家规定的相关证明，自然人参与的提供其身份证明；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特定资格证明资料.docx 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成立时间不足一年的，提供基本存款账户开户银行出具的资信证明及成立以来的财务报表，至少包括资产负债表、利润表、现金流量；），或开标时间前三个月内其基本存款账户开户银行出具的资信证明，其他组织和自然人提供银行出具的资信证明；</w:t>
            </w:r>
          </w:p>
        </w:tc>
        <w:tc>
          <w:tcPr>
            <w:tcW w:type="dxa" w:w="1661"/>
          </w:tcPr>
          <w:p>
            <w:pPr>
              <w:pStyle w:val="null3"/>
            </w:pPr>
            <w:r>
              <w:rPr>
                <w:rFonts w:ascii="仿宋_GB2312" w:hAnsi="仿宋_GB2312" w:cs="仿宋_GB2312" w:eastAsia="仿宋_GB2312"/>
              </w:rPr>
              <w:t>特定资格证明资料.docx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供应商须提供2024年12月至今已缴纳的至少一个月的纳税证明或完税证明，依法免税的单位应提供相关证明材料；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供应商须提供2024年12月至今已缴存的至少一个月的社会保障资金缴存单据或社保机构开具的社会保险参保缴费情况证明，依法不需要缴纳社会保障资金的单位应提供相关证明材料；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对列入“信用中国”网站(www.creditchina.gov.cn)“记录失信被执行人和重大税收违法案件当事人名单；中国政府采购网(www.ccgp.gov.cn)“政府采购严重违法失信行为信息记录”的单位，拒绝参与政府采购活动；</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提供书面声明</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供应商须具备有效的国家行政主管部门版发的【水利行业乙级设计资质】及以上资质，并在人员、设备、资金等方面具备相应的设计能力，拟派项目负责人需具备水利相关专业中级及以上工程师职称;</w:t>
            </w:r>
          </w:p>
        </w:tc>
        <w:tc>
          <w:tcPr>
            <w:tcW w:type="dxa" w:w="1661"/>
          </w:tcPr>
          <w:p>
            <w:pPr>
              <w:pStyle w:val="null3"/>
            </w:pPr>
            <w:r>
              <w:rPr>
                <w:rFonts w:ascii="仿宋_GB2312" w:hAnsi="仿宋_GB2312" w:cs="仿宋_GB2312" w:eastAsia="仿宋_GB2312"/>
              </w:rPr>
              <w:t>特定资格证明资料.docx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提供承诺书</w:t>
            </w:r>
          </w:p>
        </w:tc>
        <w:tc>
          <w:tcPr>
            <w:tcW w:type="dxa" w:w="1661"/>
          </w:tcPr>
          <w:p>
            <w:pPr>
              <w:pStyle w:val="null3"/>
            </w:pPr>
            <w:r>
              <w:rPr>
                <w:rFonts w:ascii="仿宋_GB2312" w:hAnsi="仿宋_GB2312" w:cs="仿宋_GB2312" w:eastAsia="仿宋_GB2312"/>
              </w:rPr>
              <w:t>特定资格证明资料.docx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特定资格证明资料.docx 商务应答表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1.经初审合格的投标文件，其投标报价为有效投标报价。 2.满足竞争性磋商文件实质性要求的最低投标报价为评标基准价，其价格分为满分30分。 3.投标报价得分=（评标基准价/投标报价）×30的公式计算得分。 4.投标报价不完整的，不进入评标标准价的计算，本项得0分。 5.经评委一致认定，供应商的投标报价低于公认市场成本价，或超过采购预算，其响应将被拒绝。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根据项目方案及效果，项目方案功能齐备，满足竞争性磋商文件要求11-15分，项目方案及效果基本满足要求得6-10分，项目方案及效果不满足要求得0-5分。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项目质量保证体系</w:t>
            </w:r>
          </w:p>
        </w:tc>
        <w:tc>
          <w:tcPr>
            <w:tcW w:type="dxa" w:w="2492"/>
          </w:tcPr>
          <w:p>
            <w:pPr>
              <w:pStyle w:val="null3"/>
            </w:pPr>
            <w:r>
              <w:rPr>
                <w:rFonts w:ascii="仿宋_GB2312" w:hAnsi="仿宋_GB2312" w:cs="仿宋_GB2312" w:eastAsia="仿宋_GB2312"/>
              </w:rPr>
              <w:t>项目质量保证体系完备8-15分；项目质量保证体系基本完善0-7分。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项目进度控制措施</w:t>
            </w:r>
          </w:p>
        </w:tc>
        <w:tc>
          <w:tcPr>
            <w:tcW w:type="dxa" w:w="2492"/>
          </w:tcPr>
          <w:p>
            <w:pPr>
              <w:pStyle w:val="null3"/>
            </w:pPr>
            <w:r>
              <w:rPr>
                <w:rFonts w:ascii="仿宋_GB2312" w:hAnsi="仿宋_GB2312" w:cs="仿宋_GB2312" w:eastAsia="仿宋_GB2312"/>
              </w:rPr>
              <w:t>项目进度满足业主要求8-15分；项目进度基本满足要求0-7分。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主要包含后续服务承诺、售后服务方案两方面，以上两方面内容齐全无缺陷且能完全满足采购人针对本项目的采购需求的得15分，每缺少一项内容扣5分，每项内容有缺陷、存在错误或不足的扣5分，扣完本项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提供2022年12月份至今已完成的类似项目业绩，每一项计2分，计满10分为止。（须附成交/中标通知书或合同复印件,类似业绩指的是水利类规划或设计项目）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类似业绩情况表.docx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详见附件：法定代表人证明书与法定代表人授权书.docx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