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版本号：DZYH-202505420251213002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DZYH-2025054</w:t>
      </w:r>
      <w:r>
        <w:br/>
      </w:r>
      <w:r>
        <w:br/>
      </w:r>
      <w:r>
        <w:br/>
      </w:r>
    </w:p>
    <w:p>
      <w:pPr>
        <w:pStyle w:val="null3"/>
        <w:jc w:val="center"/>
        <w:outlineLvl w:val="2"/>
      </w:pPr>
      <w:r>
        <w:rPr>
          <w:rFonts w:ascii="仿宋_GB2312" w:hAnsi="仿宋_GB2312" w:cs="仿宋_GB2312" w:eastAsia="仿宋_GB2312"/>
          <w:sz w:val="28"/>
          <w:b/>
        </w:rPr>
        <w:t>商洛市中医医院</w:t>
      </w:r>
    </w:p>
    <w:p>
      <w:pPr>
        <w:pStyle w:val="null3"/>
        <w:jc w:val="center"/>
        <w:outlineLvl w:val="2"/>
      </w:pPr>
      <w:r>
        <w:rPr>
          <w:rFonts w:ascii="仿宋_GB2312" w:hAnsi="仿宋_GB2312" w:cs="仿宋_GB2312" w:eastAsia="仿宋_GB2312"/>
          <w:sz w:val="28"/>
          <w:b/>
        </w:rPr>
        <w:t>陕西德正跃恒项目管理有限公司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陕西德正跃恒项目管理有限公司</w:t>
      </w:r>
      <w:r>
        <w:rPr>
          <w:rFonts w:ascii="仿宋_GB2312" w:hAnsi="仿宋_GB2312" w:cs="仿宋_GB2312" w:eastAsia="仿宋_GB2312"/>
        </w:rPr>
        <w:t>（以下简称“代理机构”）受</w:t>
      </w:r>
      <w:r>
        <w:rPr>
          <w:rFonts w:ascii="仿宋_GB2312" w:hAnsi="仿宋_GB2312" w:cs="仿宋_GB2312" w:eastAsia="仿宋_GB2312"/>
        </w:rPr>
        <w:t>商洛市中医医院</w:t>
      </w:r>
      <w:r>
        <w:rPr>
          <w:rFonts w:ascii="仿宋_GB2312" w:hAnsi="仿宋_GB2312" w:cs="仿宋_GB2312" w:eastAsia="仿宋_GB2312"/>
        </w:rPr>
        <w:t>委托，拟对</w:t>
      </w:r>
      <w:r>
        <w:rPr>
          <w:rFonts w:ascii="仿宋_GB2312" w:hAnsi="仿宋_GB2312" w:cs="仿宋_GB2312" w:eastAsia="仿宋_GB2312"/>
        </w:rPr>
        <w:t>医疗设备采购项目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DZYH-2025054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根据我院血液透析中心、神经内二科医疗业务需求，需采购电动病床5台（套）、电动起立床1台（套）、血液透析机3台（套）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1、营业执照符合招标文件要求：具有独立承担民事责任能力的法人、其他组织或自然人，并出具合法有效的营业执照或事业单位法 人证书等国家规定的相关证明，自然人参与的提供其身份证明。</w:t>
      </w:r>
    </w:p>
    <w:p>
      <w:pPr>
        <w:pStyle w:val="null3"/>
      </w:pPr>
      <w:r>
        <w:rPr>
          <w:rFonts w:ascii="仿宋_GB2312" w:hAnsi="仿宋_GB2312" w:cs="仿宋_GB2312" w:eastAsia="仿宋_GB2312"/>
        </w:rPr>
        <w:t>2、社会保障资金缴纳证明符合招标文件要求：投标人提供2025年1月至今已缴纳的至少3个月的社会保障资金缴存单据或社保机构开具的社会保险 参保缴费情况证明，单据或证明上应有社保机构或代收机构的公章。依法不需要缴纳社会保障资金 的供应商应提供相关文件证明。</w:t>
      </w:r>
    </w:p>
    <w:p>
      <w:pPr>
        <w:pStyle w:val="null3"/>
      </w:pPr>
      <w:r>
        <w:rPr>
          <w:rFonts w:ascii="仿宋_GB2312" w:hAnsi="仿宋_GB2312" w:cs="仿宋_GB2312" w:eastAsia="仿宋_GB2312"/>
        </w:rPr>
        <w:t>3、税收缴纳证明符合招标文件要求：投标人提供2025年1月至今已缴纳的至少3个月纳税证明或完税证明，依法免税的单位应提供相关证明材料。</w:t>
      </w:r>
    </w:p>
    <w:p>
      <w:pPr>
        <w:pStyle w:val="null3"/>
      </w:pPr>
      <w:r>
        <w:rPr>
          <w:rFonts w:ascii="仿宋_GB2312" w:hAnsi="仿宋_GB2312" w:cs="仿宋_GB2312" w:eastAsia="仿宋_GB2312"/>
        </w:rPr>
        <w:t>4、财务审计报告符合招标文件要求：投标人提供本单位经会计师事务所审计的2024年财务审计报告，或在开标日期前6个月内其基本开 户银行出具的资信证明。</w:t>
      </w:r>
    </w:p>
    <w:p>
      <w:pPr>
        <w:pStyle w:val="null3"/>
      </w:pPr>
      <w:r>
        <w:rPr>
          <w:rFonts w:ascii="仿宋_GB2312" w:hAnsi="仿宋_GB2312" w:cs="仿宋_GB2312" w:eastAsia="仿宋_GB2312"/>
        </w:rPr>
        <w:t>5、书面声明符合招标文件要求：投标人应出具参加本次政府采购活动前3年内在经营活动中没有重大违法违纪的书面声明。</w:t>
      </w:r>
    </w:p>
    <w:p>
      <w:pPr>
        <w:pStyle w:val="null3"/>
      </w:pPr>
      <w:r>
        <w:rPr>
          <w:rFonts w:ascii="仿宋_GB2312" w:hAnsi="仿宋_GB2312" w:cs="仿宋_GB2312" w:eastAsia="仿宋_GB2312"/>
        </w:rPr>
        <w:t>6、授权委托书及身份证符合招标文件要求：法定代表人授权委托书（附法定代表人或负责人身份证复印件及被授权人身份证复印件）；法定代 表人或负责人直接参加投标只须提供法定代表人资格证明书（附法定代表人或负责人身份证复印件 ）。</w:t>
      </w:r>
    </w:p>
    <w:p>
      <w:pPr>
        <w:pStyle w:val="null3"/>
      </w:pPr>
      <w:r>
        <w:rPr>
          <w:rFonts w:ascii="仿宋_GB2312" w:hAnsi="仿宋_GB2312" w:cs="仿宋_GB2312" w:eastAsia="仿宋_GB2312"/>
        </w:rPr>
        <w:t>7、投标人资质符合招标文件要求：投标人为生产厂家须提供有效的医疗器械生产许可证(或医疗器械生产备案凭证)、医疗器械注册证的 复印件并加盖投标人公章；投标人为代理商的须提供有效的医疗器械经营许可证、医疗器械经营备 案证的复印件并加盖投标人公章。</w:t>
      </w:r>
    </w:p>
    <w:p>
      <w:pPr>
        <w:pStyle w:val="null3"/>
      </w:pPr>
      <w:r>
        <w:rPr>
          <w:rFonts w:ascii="仿宋_GB2312" w:hAnsi="仿宋_GB2312" w:cs="仿宋_GB2312" w:eastAsia="仿宋_GB2312"/>
        </w:rPr>
        <w:t>8、投标人产品符合招标文件要求：提供投标产品的医疗器械生产许可证(或医疗器械生产备案凭证)、医疗器械注册证的复印件并加盖投 标人公章。</w:t>
      </w:r>
    </w:p>
    <w:p>
      <w:pPr>
        <w:pStyle w:val="null3"/>
      </w:pPr>
      <w:r>
        <w:rPr>
          <w:rFonts w:ascii="仿宋_GB2312" w:hAnsi="仿宋_GB2312" w:cs="仿宋_GB2312" w:eastAsia="仿宋_GB2312"/>
        </w:rPr>
        <w:t>9、提供截图应真实有效，符合招标文件要求：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10、非联合体承诺书符合招标文件要求：本项目不接受联合体投标。</w:t>
      </w:r>
    </w:p>
    <w:p>
      <w:pPr>
        <w:pStyle w:val="null3"/>
      </w:pPr>
      <w:r>
        <w:rPr>
          <w:rFonts w:ascii="仿宋_GB2312" w:hAnsi="仿宋_GB2312" w:cs="仿宋_GB2312" w:eastAsia="仿宋_GB2312"/>
        </w:rPr>
        <w:t>11、书面声明符合招标文件要求：单位负责人为同一人或者存在直接控股、管理关系的不同供应商，不得参加同一合同项下的政府采 购活动。</w:t>
      </w:r>
    </w:p>
    <w:p>
      <w:pPr>
        <w:pStyle w:val="null3"/>
      </w:pPr>
      <w:r>
        <w:rPr>
          <w:rFonts w:ascii="仿宋_GB2312" w:hAnsi="仿宋_GB2312" w:cs="仿宋_GB2312" w:eastAsia="仿宋_GB2312"/>
        </w:rPr>
        <w:t>12、投标保证金缴纳符合招标文件要求：投标保证金缴纳凭证回单或电子保函。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商洛市北新街 148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0914-2863512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陕西德正跃恒项目管理有限公司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陕西省商洛市商州区民和路同城置业大厦16楼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南常佑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17691280844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开户名称：陕西德正跃恒项目管理有限公司</w:t>
            </w:r>
          </w:p>
          <w:p>
            <w:pPr>
              <w:pStyle w:val="null3"/>
            </w:pPr>
            <w:r>
              <w:rPr>
                <w:rFonts w:ascii="仿宋_GB2312" w:hAnsi="仿宋_GB2312" w:cs="仿宋_GB2312" w:eastAsia="仿宋_GB2312"/>
              </w:rPr>
              <w:t>开户银行：中国邮政储蓄银行股份有限公司商洛市分行</w:t>
            </w:r>
          </w:p>
          <w:p>
            <w:pPr>
              <w:pStyle w:val="null3"/>
            </w:pPr>
            <w:r>
              <w:rPr>
                <w:rFonts w:ascii="仿宋_GB2312" w:hAnsi="仿宋_GB2312" w:cs="仿宋_GB2312" w:eastAsia="仿宋_GB2312"/>
              </w:rPr>
              <w:t>银行账号：961000010027438908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代理服务费收费标准：招标代理服务费依据国家计委计价格[2002]1980 号《招标代理服务收费管理暂行办法》和国家发展改革委员会办公厅颁发的《关于招标代理服 务收费有关问题的通知》（发改办价格[2003]857 号）及《国家发展改革委关于降低部分建设项目收费标准规范收费行为等有关问题的通知》（发改价格[2011]534号）规定标准收取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商洛市中医医院</w:t>
      </w:r>
      <w:r>
        <w:rPr>
          <w:rFonts w:ascii="仿宋_GB2312" w:hAnsi="仿宋_GB2312" w:cs="仿宋_GB2312" w:eastAsia="仿宋_GB2312"/>
        </w:rPr>
        <w:t>和</w:t>
      </w:r>
      <w:r>
        <w:rPr>
          <w:rFonts w:ascii="仿宋_GB2312" w:hAnsi="仿宋_GB2312" w:cs="仿宋_GB2312" w:eastAsia="仿宋_GB2312"/>
        </w:rPr>
        <w:t>陕西德正跃恒项目管理有限公司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陕西德正跃恒项目管理有限公司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陕西德正跃恒项目管理有限公司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符合招标文件及采购人要求，达到合格标准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陕西德正跃恒项目管理有限公司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陕西德正跃恒项目管理有限公司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陕西德正跃恒项目管理有限公司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联系人：南常佑</w:t>
      </w:r>
    </w:p>
    <w:p>
      <w:pPr>
        <w:pStyle w:val="null3"/>
      </w:pPr>
      <w:r>
        <w:rPr>
          <w:rFonts w:ascii="仿宋_GB2312" w:hAnsi="仿宋_GB2312" w:cs="仿宋_GB2312" w:eastAsia="仿宋_GB2312"/>
        </w:rPr>
        <w:t>联系电话：17691280844</w:t>
      </w:r>
    </w:p>
    <w:p>
      <w:pPr>
        <w:pStyle w:val="null3"/>
      </w:pPr>
      <w:r>
        <w:rPr>
          <w:rFonts w:ascii="仿宋_GB2312" w:hAnsi="仿宋_GB2312" w:cs="仿宋_GB2312" w:eastAsia="仿宋_GB2312"/>
        </w:rPr>
        <w:t>地址：陕西省商洛市商州区民和路同城置业大厦16楼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根据我院血液透析中心、神经内二科医疗业务需求，需采购电动病床5台（套）、电动起立床1台（套）、血液透析机3台（套）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525,000.00</w:t>
      </w:r>
    </w:p>
    <w:p>
      <w:pPr>
        <w:pStyle w:val="null3"/>
      </w:pPr>
      <w:r>
        <w:rPr>
          <w:rFonts w:ascii="仿宋_GB2312" w:hAnsi="仿宋_GB2312" w:cs="仿宋_GB2312" w:eastAsia="仿宋_GB2312"/>
        </w:rPr>
        <w:t>采购包最高限价（元）: 525,000.00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电动病床5台（套）、电动起立床1台（套）、血液透析机3台（套））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标的名称：电动病床5台（套）、电动起立床1台（套）、血液透析机3台（套））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一、电动病床</w:t>
            </w:r>
            <w:r>
              <w:br/>
            </w:r>
            <w:r>
              <w:rPr>
                <w:rFonts w:ascii="仿宋_GB2312" w:hAnsi="仿宋_GB2312" w:cs="仿宋_GB2312" w:eastAsia="仿宋_GB2312"/>
              </w:rPr>
              <w:t xml:space="preserve"> 1、规格:</w:t>
            </w:r>
            <w:r>
              <w:br/>
            </w:r>
            <w:r>
              <w:rPr>
                <w:rFonts w:ascii="仿宋_GB2312" w:hAnsi="仿宋_GB2312" w:cs="仿宋_GB2312" w:eastAsia="仿宋_GB2312"/>
              </w:rPr>
              <w:t xml:space="preserve"> （1）整床尺寸: 2165(±10mm)×990(±10mm)×520-800mm (±10mm)，床面宽:850mm(±10mm)；</w:t>
            </w:r>
            <w:r>
              <w:br/>
            </w:r>
            <w:r>
              <w:rPr>
                <w:rFonts w:ascii="仿宋_GB2312" w:hAnsi="仿宋_GB2312" w:cs="仿宋_GB2312" w:eastAsia="仿宋_GB2312"/>
              </w:rPr>
              <w:t xml:space="preserve"> （2）整体护栏总长度: 1625mm(±10mm)，护栏顶端离床面板净高415mm(±10mm)。</w:t>
            </w:r>
            <w:r>
              <w:br/>
            </w:r>
            <w:r>
              <w:rPr>
                <w:rFonts w:ascii="仿宋_GB2312" w:hAnsi="仿宋_GB2312" w:cs="仿宋_GB2312" w:eastAsia="仿宋_GB2312"/>
              </w:rPr>
              <w:t xml:space="preserve"> 2.功能:</w:t>
            </w:r>
            <w:r>
              <w:br/>
            </w:r>
            <w:r>
              <w:rPr>
                <w:rFonts w:ascii="仿宋_GB2312" w:hAnsi="仿宋_GB2312" w:cs="仿宋_GB2312" w:eastAsia="仿宋_GB2312"/>
              </w:rPr>
              <w:t xml:space="preserve"> （1）三直线电机全自动实现各种体位，背部升降：0-70°±2°，腿部升降：0-28°±2°，床面高度调节：520-800mm (±10mm)，垂头仰卧：0-12°±2°； </w:t>
            </w:r>
            <w:r>
              <w:br/>
            </w:r>
            <w:r>
              <w:rPr>
                <w:rFonts w:ascii="仿宋_GB2312" w:hAnsi="仿宋_GB2312" w:cs="仿宋_GB2312" w:eastAsia="仿宋_GB2312"/>
              </w:rPr>
              <w:t xml:space="preserve"> （2）背部减压功能：床板上升时自动向后延位，减少患者背部、腹部和臀部的压力；</w:t>
            </w:r>
            <w:r>
              <w:br/>
            </w:r>
            <w:r>
              <w:rPr>
                <w:rFonts w:ascii="仿宋_GB2312" w:hAnsi="仿宋_GB2312" w:cs="仿宋_GB2312" w:eastAsia="仿宋_GB2312"/>
              </w:rPr>
              <w:t xml:space="preserve"> （3）垂头仰卧功能：实现整床头低脚高向后倾斜体位，便捷提供辅助治；</w:t>
            </w:r>
            <w:r>
              <w:br/>
            </w:r>
            <w:r>
              <w:rPr>
                <w:rFonts w:ascii="仿宋_GB2312" w:hAnsi="仿宋_GB2312" w:cs="仿宋_GB2312" w:eastAsia="仿宋_GB2312"/>
              </w:rPr>
              <w:t xml:space="preserve"> （4）UPS后备电源：满足病床移动时或紧急情况下断电操作（可操作30次以上）；</w:t>
            </w:r>
            <w:r>
              <w:br/>
            </w:r>
            <w:r>
              <w:rPr>
                <w:rFonts w:ascii="仿宋_GB2312" w:hAnsi="仿宋_GB2312" w:cs="仿宋_GB2312" w:eastAsia="仿宋_GB2312"/>
              </w:rPr>
              <w:t xml:space="preserve"> （5）紧急暂停功能：床侧配有一键式紧急停止开关，紧急时快速、准确固定体位。</w:t>
            </w:r>
            <w:r>
              <w:br/>
            </w:r>
            <w:r>
              <w:rPr>
                <w:rFonts w:ascii="仿宋_GB2312" w:hAnsi="仿宋_GB2312" w:cs="仿宋_GB2312" w:eastAsia="仿宋_GB2312"/>
              </w:rPr>
              <w:t xml:space="preserve"> 3、结构:</w:t>
            </w:r>
            <w:r>
              <w:br/>
            </w:r>
            <w:r>
              <w:rPr>
                <w:rFonts w:ascii="仿宋_GB2312" w:hAnsi="仿宋_GB2312" w:cs="仿宋_GB2312" w:eastAsia="仿宋_GB2312"/>
              </w:rPr>
              <w:t xml:space="preserve"> （1）双层稳固结构：床体+整体底座，稳固扎实；床框、底座均加厚用材，采用30×60×1.5mm矩型钢管，床体静态最大载重400kg，床体动态最大载重205kg；</w:t>
            </w:r>
            <w:r>
              <w:br/>
            </w:r>
            <w:r>
              <w:rPr>
                <w:rFonts w:ascii="仿宋_GB2312" w:hAnsi="仿宋_GB2312" w:cs="仿宋_GB2312" w:eastAsia="仿宋_GB2312"/>
              </w:rPr>
              <w:t xml:space="preserve"> （2）背部床板增加矩形钢管加固，采用自延位结构，有效转移床板承重，减少腹压，有效延长电机及病床使用寿命。</w:t>
            </w:r>
            <w:r>
              <w:br/>
            </w:r>
            <w:r>
              <w:rPr>
                <w:rFonts w:ascii="仿宋_GB2312" w:hAnsi="仿宋_GB2312" w:cs="仿宋_GB2312" w:eastAsia="仿宋_GB2312"/>
              </w:rPr>
              <w:t xml:space="preserve"> 4、部件:</w:t>
            </w:r>
            <w:r>
              <w:br/>
            </w:r>
            <w:r>
              <w:rPr>
                <w:rFonts w:ascii="仿宋_GB2312" w:hAnsi="仿宋_GB2312" w:cs="仿宋_GB2312" w:eastAsia="仿宋_GB2312"/>
              </w:rPr>
              <w:t xml:space="preserve"> （1）电机推力≥6000N，带自锁螺母，具有电磁兼容性(EMC)及自动断电、过载保护功能，噪音≤ 50db，耐用寿命长；</w:t>
            </w:r>
            <w:r>
              <w:br/>
            </w:r>
            <w:r>
              <w:rPr>
                <w:rFonts w:ascii="仿宋_GB2312" w:hAnsi="仿宋_GB2312" w:cs="仿宋_GB2312" w:eastAsia="仿宋_GB2312"/>
              </w:rPr>
              <w:t xml:space="preserve"> （2）控制手柄,标识清楚，操作简易，降低误操作概率；</w:t>
            </w:r>
            <w:r>
              <w:br/>
            </w:r>
            <w:r>
              <w:rPr>
                <w:rFonts w:ascii="仿宋_GB2312" w:hAnsi="仿宋_GB2312" w:cs="仿宋_GB2312" w:eastAsia="仿宋_GB2312"/>
              </w:rPr>
              <w:t xml:space="preserve"> （3）流线型床头尾板，两侧转角保护设计，采用全新纯正PE原材料整体一次吹塑成型，无缝隙，不藏污纳垢，易清洁，不变形；暗藏锁定开关，稳定可靠，拆卸方便；床头尾板左右两边各带防撞轮，直径≥75mm。</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二、电动起立床</w:t>
            </w:r>
            <w:r>
              <w:br/>
            </w:r>
            <w:r>
              <w:rPr>
                <w:rFonts w:ascii="仿宋_GB2312" w:hAnsi="仿宋_GB2312" w:cs="仿宋_GB2312" w:eastAsia="仿宋_GB2312"/>
              </w:rPr>
              <w:t xml:space="preserve"> 1、规格：</w:t>
            </w:r>
            <w:r>
              <w:br/>
            </w:r>
            <w:r>
              <w:rPr>
                <w:rFonts w:ascii="仿宋_GB2312" w:hAnsi="仿宋_GB2312" w:cs="仿宋_GB2312" w:eastAsia="仿宋_GB2312"/>
              </w:rPr>
              <w:t xml:space="preserve"> （1）整床尺寸：2220(±10mm)×990(±10mm)×560-850mm(±10mm);</w:t>
            </w:r>
            <w:r>
              <w:br/>
            </w:r>
            <w:r>
              <w:rPr>
                <w:rFonts w:ascii="仿宋_GB2312" w:hAnsi="仿宋_GB2312" w:cs="仿宋_GB2312" w:eastAsia="仿宋_GB2312"/>
              </w:rPr>
              <w:t xml:space="preserve"> （2）整体护栏总长度: 1625mm(±10mm)，护栏顶端离床面板净高415mm(±10mm)。</w:t>
            </w:r>
            <w:r>
              <w:br/>
            </w:r>
            <w:r>
              <w:rPr>
                <w:rFonts w:ascii="仿宋_GB2312" w:hAnsi="仿宋_GB2312" w:cs="仿宋_GB2312" w:eastAsia="仿宋_GB2312"/>
              </w:rPr>
              <w:t xml:space="preserve"> 2、功能：</w:t>
            </w:r>
            <w:r>
              <w:br/>
            </w:r>
            <w:r>
              <w:rPr>
                <w:rFonts w:ascii="仿宋_GB2312" w:hAnsi="仿宋_GB2312" w:cs="仿宋_GB2312" w:eastAsia="仿宋_GB2312"/>
              </w:rPr>
              <w:t xml:space="preserve"> （1）六电机实现多种功能，背部升降：0-70±2°,腿部升降：O-25°±2°,整床立起功能采用双电机推动，立起角度：0-80°±2°,头低脚高角度：0-12±2°,头高脚低角度：0-12±2°;</w:t>
            </w:r>
            <w:r>
              <w:br/>
            </w:r>
            <w:r>
              <w:rPr>
                <w:rFonts w:ascii="仿宋_GB2312" w:hAnsi="仿宋_GB2312" w:cs="仿宋_GB2312" w:eastAsia="仿宋_GB2312"/>
              </w:rPr>
              <w:t xml:space="preserve"> （2）背部减压功能：床板上升时自动向后延位，减少患者背部、腹部和臀部的压力；</w:t>
            </w:r>
            <w:r>
              <w:br/>
            </w:r>
            <w:r>
              <w:rPr>
                <w:rFonts w:ascii="仿宋_GB2312" w:hAnsi="仿宋_GB2312" w:cs="仿宋_GB2312" w:eastAsia="仿宋_GB2312"/>
              </w:rPr>
              <w:t xml:space="preserve"> （3）配置UPS后备电源：电池容量≥DC24v,满足病床移动时或紧急情况下断电操作；</w:t>
            </w:r>
            <w:r>
              <w:br/>
            </w:r>
            <w:r>
              <w:rPr>
                <w:rFonts w:ascii="仿宋_GB2312" w:hAnsi="仿宋_GB2312" w:cs="仿宋_GB2312" w:eastAsia="仿宋_GB2312"/>
              </w:rPr>
              <w:t xml:space="preserve"> （4）紧急暂停功能：床侧配有一键式紧急停止开关，紧急时快速、准确固定体位。</w:t>
            </w:r>
            <w:r>
              <w:br/>
            </w:r>
            <w:r>
              <w:rPr>
                <w:rFonts w:ascii="仿宋_GB2312" w:hAnsi="仿宋_GB2312" w:cs="仿宋_GB2312" w:eastAsia="仿宋_GB2312"/>
              </w:rPr>
              <w:t xml:space="preserve"> 3、结构：</w:t>
            </w:r>
            <w:r>
              <w:br/>
            </w:r>
            <w:r>
              <w:rPr>
                <w:rFonts w:ascii="仿宋_GB2312" w:hAnsi="仿宋_GB2312" w:cs="仿宋_GB2312" w:eastAsia="仿宋_GB2312"/>
              </w:rPr>
              <w:t xml:space="preserve"> （1）双层豪华稳固结构：床体+钢塑整体底座，底座四角装饰盖采用 ABS 整体注塑工艺，床框、底座采用25×50×1.5mm 、40×40×1.5mm 、30×60×1.3mm矩型钢管，床体静态最大载重400kg,床体动态最大载重225kg;</w:t>
            </w:r>
            <w:r>
              <w:br/>
            </w:r>
            <w:r>
              <w:rPr>
                <w:rFonts w:ascii="仿宋_GB2312" w:hAnsi="仿宋_GB2312" w:cs="仿宋_GB2312" w:eastAsia="仿宋_GB2312"/>
              </w:rPr>
              <w:t xml:space="preserve"> （2）背部床板增加矩形钢管加固，采用三角变量自延位结构。</w:t>
            </w:r>
            <w:r>
              <w:br/>
            </w:r>
            <w:r>
              <w:rPr>
                <w:rFonts w:ascii="仿宋_GB2312" w:hAnsi="仿宋_GB2312" w:cs="仿宋_GB2312" w:eastAsia="仿宋_GB2312"/>
              </w:rPr>
              <w:t xml:space="preserve"> 4、部件：</w:t>
            </w:r>
            <w:r>
              <w:br/>
            </w:r>
            <w:r>
              <w:rPr>
                <w:rFonts w:ascii="仿宋_GB2312" w:hAnsi="仿宋_GB2312" w:cs="仿宋_GB2312" w:eastAsia="仿宋_GB2312"/>
              </w:rPr>
              <w:t xml:space="preserve"> （1）电机推力≥6000N，带自锁螺母，具有电磁兼容性(EMC)及自动断电、过载保护功能，噪音≤ 50db；</w:t>
            </w:r>
            <w:r>
              <w:br/>
            </w:r>
            <w:r>
              <w:rPr>
                <w:rFonts w:ascii="仿宋_GB2312" w:hAnsi="仿宋_GB2312" w:cs="仿宋_GB2312" w:eastAsia="仿宋_GB2312"/>
              </w:rPr>
              <w:t xml:space="preserve"> （2）手持护士总控器一个，具备按键锁定功能，锁定安全；</w:t>
            </w:r>
            <w:r>
              <w:br/>
            </w:r>
            <w:r>
              <w:rPr>
                <w:rFonts w:ascii="仿宋_GB2312" w:hAnsi="仿宋_GB2312" w:cs="仿宋_GB2312" w:eastAsia="仿宋_GB2312"/>
              </w:rPr>
              <w:t xml:space="preserve"> （3）流线型床头尾板，两侧转角保护设计，采用全新纯正PE原材料整体一次吹塑成型，无缝隙，不藏污纳垢，易清洁，不变形；暗藏锁定开关，稳定可靠，拆卸方便；暗藏锁定开关，稳定可靠，拆卸方便；床尾板内侧附加强化钢板，保证直立时承重受力≥150KG；</w:t>
            </w:r>
            <w:r>
              <w:br/>
            </w:r>
            <w:r>
              <w:rPr>
                <w:rFonts w:ascii="仿宋_GB2312" w:hAnsi="仿宋_GB2312" w:cs="仿宋_GB2312" w:eastAsia="仿宋_GB2312"/>
              </w:rPr>
              <w:t xml:space="preserve"> （4）美式下翻四片式护栏，采用PE原材料整体一次吹塑成型，加强型压铸铝支撑座，护栏与护栏、护栏与床头板平放时间距≤6cm,背部护栏与床板保持同步升降且始终与腿部护栏保持间距≤6cm；</w:t>
            </w:r>
            <w:r>
              <w:br/>
            </w:r>
            <w:r>
              <w:rPr>
                <w:rFonts w:ascii="仿宋_GB2312" w:hAnsi="仿宋_GB2312" w:cs="仿宋_GB2312" w:eastAsia="仿宋_GB2312"/>
              </w:rPr>
              <w:t xml:space="preserve"> （5）五寸双面中控轮，脚轮骨架采用航空铝材一次压铸成型，质地坚硬且轻盈；左右一字刹车脚踏各一个，一脚制动，双边抓地，稳固牢靠；</w:t>
            </w:r>
            <w:r>
              <w:br/>
            </w:r>
            <w:r>
              <w:rPr>
                <w:rFonts w:ascii="仿宋_GB2312" w:hAnsi="仿宋_GB2312" w:cs="仿宋_GB2312" w:eastAsia="仿宋_GB2312"/>
              </w:rPr>
              <w:t xml:space="preserve"> （6）床板采用10mm厚无损透射材料，床板背面钢管加固结构，带透气孔，抗压力强。</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三、血液透析机</w:t>
            </w:r>
            <w:r>
              <w:br/>
            </w:r>
            <w:r>
              <w:rPr>
                <w:rFonts w:ascii="仿宋_GB2312" w:hAnsi="仿宋_GB2312" w:cs="仿宋_GB2312" w:eastAsia="仿宋_GB2312"/>
              </w:rPr>
              <w:t xml:space="preserve"> 1、总体要求</w:t>
            </w:r>
            <w:r>
              <w:br/>
            </w:r>
            <w:r>
              <w:rPr>
                <w:rFonts w:ascii="仿宋_GB2312" w:hAnsi="仿宋_GB2312" w:cs="仿宋_GB2312" w:eastAsia="仿宋_GB2312"/>
              </w:rPr>
              <w:t xml:space="preserve"> （1）10英寸以上彩色液晶显示屏幕，可进行碳酸氢盐透析 /醋酸盐透析 /干粉透析，耗材（含血路管）、原液配方全开放；</w:t>
            </w:r>
            <w:r>
              <w:br/>
            </w:r>
            <w:r>
              <w:rPr>
                <w:rFonts w:ascii="仿宋_GB2312" w:hAnsi="仿宋_GB2312" w:cs="仿宋_GB2312" w:eastAsia="仿宋_GB2312"/>
              </w:rPr>
              <w:t xml:space="preserve"> （2）全中文操作系统，可完整直观的显示治疗参数，包括：动脉压、静脉压、电导度、血流量、透析液流量、温度、超滤量、超滤目标、超滤时间。具有报警、治疗等自我提示功能。</w:t>
            </w:r>
            <w:r>
              <w:br/>
            </w:r>
            <w:r>
              <w:rPr>
                <w:rFonts w:ascii="仿宋_GB2312" w:hAnsi="仿宋_GB2312" w:cs="仿宋_GB2312" w:eastAsia="仿宋_GB2312"/>
              </w:rPr>
              <w:t xml:space="preserve"> 2、血泵：血泵自动导入血路管, 血泵管径可调，范围3-10毫米。</w:t>
            </w:r>
            <w:r>
              <w:br/>
            </w:r>
            <w:r>
              <w:rPr>
                <w:rFonts w:ascii="仿宋_GB2312" w:hAnsi="仿宋_GB2312" w:cs="仿宋_GB2312" w:eastAsia="仿宋_GB2312"/>
              </w:rPr>
              <w:t xml:space="preserve"> 3、血液透析机满足用户血液透析软件数据连接导出，具备数据采集盒。</w:t>
            </w:r>
            <w:r>
              <w:br/>
            </w:r>
            <w:r>
              <w:rPr>
                <w:rFonts w:ascii="仿宋_GB2312" w:hAnsi="仿宋_GB2312" w:cs="仿宋_GB2312" w:eastAsia="仿宋_GB2312"/>
              </w:rPr>
              <w:t xml:space="preserve"> 4、具有超滤和钠曲线治疗，具有多种可选择性 /梯级自动调整程序，可实现个体化透析，并保证病人安全。</w:t>
            </w:r>
            <w:r>
              <w:br/>
            </w:r>
            <w:r>
              <w:rPr>
                <w:rFonts w:ascii="仿宋_GB2312" w:hAnsi="仿宋_GB2312" w:cs="仿宋_GB2312" w:eastAsia="仿宋_GB2312"/>
              </w:rPr>
              <w:t xml:space="preserve"> 5、具备碳酸氢盐干粉自动配制系统，标配新型联机B粉接口。 </w:t>
            </w:r>
            <w:r>
              <w:br/>
            </w:r>
            <w:r>
              <w:rPr>
                <w:rFonts w:ascii="仿宋_GB2312" w:hAnsi="仿宋_GB2312" w:cs="仿宋_GB2312" w:eastAsia="仿宋_GB2312"/>
              </w:rPr>
              <w:t xml:space="preserve"> 6、清洗消毒程序：具有水/热/化学等多种消毒模式可供选择。消毒、除钙一次完成。热消毒最高温度≥ 84℃。消毒时间短，30分钟完成。</w:t>
            </w:r>
            <w:r>
              <w:br/>
            </w:r>
            <w:r>
              <w:rPr>
                <w:rFonts w:ascii="仿宋_GB2312" w:hAnsi="仿宋_GB2312" w:cs="仿宋_GB2312" w:eastAsia="仿宋_GB2312"/>
              </w:rPr>
              <w:t xml:space="preserve"> 7、随机内置不间断后备电源，保障断电后血泵及血液监测部分正常工作 15分钟以上。断电时自动切换，同时维持所有系统正常，显示所有治疗数据，恢复供电时，自动启动治疗并保持原有数据。 </w:t>
            </w:r>
            <w:r>
              <w:br/>
            </w:r>
            <w:r>
              <w:rPr>
                <w:rFonts w:ascii="仿宋_GB2312" w:hAnsi="仿宋_GB2312" w:cs="仿宋_GB2312" w:eastAsia="仿宋_GB2312"/>
              </w:rPr>
              <w:t xml:space="preserve"> 8、标配透析液细菌过滤器接口，实现对透析液进行超纯滤过，提高治疗预后。</w:t>
            </w:r>
            <w:r>
              <w:br/>
            </w:r>
            <w:r>
              <w:rPr>
                <w:rFonts w:ascii="仿宋_GB2312" w:hAnsi="仿宋_GB2312" w:cs="仿宋_GB2312" w:eastAsia="仿宋_GB2312"/>
              </w:rPr>
              <w:t xml:space="preserve"> 9、血液部分具有肝素泵，并可设定停泵时间，显示累计量，快速肝素注入。流量范围：0ml ～ 10ml/h，单次追加最大剂量：5ml。</w:t>
            </w:r>
            <w:r>
              <w:br/>
            </w:r>
            <w:r>
              <w:rPr>
                <w:rFonts w:ascii="仿宋_GB2312" w:hAnsi="仿宋_GB2312" w:cs="仿宋_GB2312" w:eastAsia="仿宋_GB2312"/>
              </w:rPr>
              <w:t xml:space="preserve"> 10、超滤系统：平衡腔超滤控制系统，透析液不间断提供。平衡精确度为透析液总量的±0.1%。</w:t>
            </w:r>
            <w:r>
              <w:br/>
            </w:r>
            <w:r>
              <w:rPr>
                <w:rFonts w:ascii="仿宋_GB2312" w:hAnsi="仿宋_GB2312" w:cs="仿宋_GB2312" w:eastAsia="仿宋_GB2312"/>
              </w:rPr>
              <w:t xml:space="preserve"> 11、压力衡定测试：治疗时每隔15分钟进行一次压力密闭平衡测试，检查水路系统密闭性，保证超滤精度和治疗安全。即使在高通量透析时也能保障容量控制平衡安全性。 </w:t>
            </w:r>
            <w:r>
              <w:br/>
            </w:r>
            <w:r>
              <w:rPr>
                <w:rFonts w:ascii="仿宋_GB2312" w:hAnsi="仿宋_GB2312" w:cs="仿宋_GB2312" w:eastAsia="仿宋_GB2312"/>
              </w:rPr>
              <w:t xml:space="preserve"> 12、标配在线清除率（Kt/V）监测组件，无需使用任何耗材，可实时测量并图形显示清除率K值、Kt/V值和血浆钠值，可实时评估病人透析效果。</w:t>
            </w:r>
            <w:r>
              <w:br/>
            </w:r>
            <w:r>
              <w:rPr>
                <w:rFonts w:ascii="仿宋_GB2312" w:hAnsi="仿宋_GB2312" w:cs="仿宋_GB2312" w:eastAsia="仿宋_GB2312"/>
              </w:rPr>
              <w:t xml:space="preserve"> 13、血泵，血流量指示 20-600ml/min，精度≤± 10%。 </w:t>
            </w:r>
            <w:r>
              <w:br/>
            </w:r>
            <w:r>
              <w:rPr>
                <w:rFonts w:ascii="仿宋_GB2312" w:hAnsi="仿宋_GB2312" w:cs="仿宋_GB2312" w:eastAsia="仿宋_GB2312"/>
              </w:rPr>
              <w:t xml:space="preserve"> 14、透析液温度： 35-39℃，连续可调，有精确数字读数。 </w:t>
            </w:r>
            <w:r>
              <w:br/>
            </w:r>
            <w:r>
              <w:rPr>
                <w:rFonts w:ascii="仿宋_GB2312" w:hAnsi="仿宋_GB2312" w:cs="仿宋_GB2312" w:eastAsia="仿宋_GB2312"/>
              </w:rPr>
              <w:t xml:space="preserve"> 15、透析液流量：透析液流速 0-800ml/min。 </w:t>
            </w:r>
            <w:r>
              <w:br/>
            </w:r>
            <w:r>
              <w:rPr>
                <w:rFonts w:ascii="仿宋_GB2312" w:hAnsi="仿宋_GB2312" w:cs="仿宋_GB2312" w:eastAsia="仿宋_GB2312"/>
              </w:rPr>
              <w:t xml:space="preserve"> 16、透析液电导度控制及保护：具备电导度监测、显示及超限报警功能。电导度范围：13 ～ 15mS/cm (25℃)   精确度：± 0.1mS/cm</w:t>
            </w:r>
            <w:r>
              <w:br/>
            </w:r>
            <w:r>
              <w:rPr>
                <w:rFonts w:ascii="仿宋_GB2312" w:hAnsi="仿宋_GB2312" w:cs="仿宋_GB2312" w:eastAsia="仿宋_GB2312"/>
              </w:rPr>
              <w:t xml:space="preserve"> 17、超滤功能：超滤率为 0-4000ml/h，可调，精度为± 1%。 </w:t>
            </w:r>
            <w:r>
              <w:br/>
            </w:r>
            <w:r>
              <w:rPr>
                <w:rFonts w:ascii="仿宋_GB2312" w:hAnsi="仿宋_GB2312" w:cs="仿宋_GB2312" w:eastAsia="仿宋_GB2312"/>
              </w:rPr>
              <w:t xml:space="preserve"> 18、具有循环血液管路动静脉压力监测</w:t>
            </w:r>
            <w:r>
              <w:br/>
            </w:r>
            <w:r>
              <w:rPr>
                <w:rFonts w:ascii="仿宋_GB2312" w:hAnsi="仿宋_GB2312" w:cs="仿宋_GB2312" w:eastAsia="仿宋_GB2312"/>
              </w:rPr>
              <w:t xml:space="preserve"> （1）动脉压：-300mmHg ～ +250mmHg，精度±10mmHg</w:t>
            </w:r>
            <w:r>
              <w:br/>
            </w:r>
            <w:r>
              <w:rPr>
                <w:rFonts w:ascii="仿宋_GB2312" w:hAnsi="仿宋_GB2312" w:cs="仿宋_GB2312" w:eastAsia="仿宋_GB2312"/>
              </w:rPr>
              <w:t xml:space="preserve"> （2）静脉压：-60mmHg ～ +500mmHg，精度±10mmHg</w:t>
            </w:r>
            <w:r>
              <w:br/>
            </w:r>
            <w:r>
              <w:rPr>
                <w:rFonts w:ascii="仿宋_GB2312" w:hAnsi="仿宋_GB2312" w:cs="仿宋_GB2312" w:eastAsia="仿宋_GB2312"/>
              </w:rPr>
              <w:t xml:space="preserve"> 19、具有跨膜压监测</w:t>
            </w:r>
            <w:r>
              <w:br/>
            </w:r>
            <w:r>
              <w:rPr>
                <w:rFonts w:ascii="仿宋_GB2312" w:hAnsi="仿宋_GB2312" w:cs="仿宋_GB2312" w:eastAsia="仿宋_GB2312"/>
              </w:rPr>
              <w:t xml:space="preserve"> 跨膜压：-60mmHg ～ +500mmHg。 </w:t>
            </w:r>
            <w:r>
              <w:br/>
            </w:r>
            <w:r>
              <w:rPr>
                <w:rFonts w:ascii="仿宋_GB2312" w:hAnsi="仿宋_GB2312" w:cs="仿宋_GB2312" w:eastAsia="仿宋_GB2312"/>
              </w:rPr>
              <w:t xml:space="preserve"> 20、具有漏血检测功能，能区分真假性漏血。</w:t>
            </w:r>
            <w:r>
              <w:br/>
            </w:r>
            <w:r>
              <w:rPr>
                <w:rFonts w:ascii="仿宋_GB2312" w:hAnsi="仿宋_GB2312" w:cs="仿宋_GB2312" w:eastAsia="仿宋_GB2312"/>
              </w:rPr>
              <w:t xml:space="preserve"> 21、具备血路空气双重探测功能，确保治疗安全。</w:t>
            </w:r>
            <w:r>
              <w:br/>
            </w:r>
            <w:r>
              <w:rPr>
                <w:rFonts w:ascii="仿宋_GB2312" w:hAnsi="仿宋_GB2312" w:cs="仿宋_GB2312" w:eastAsia="仿宋_GB2312"/>
              </w:rPr>
              <w:t xml:space="preserve"> 22、具有完备的自检功能，自检不可跳过，自身具有维修菜单，故障自我诊断。</w:t>
            </w:r>
            <w:r>
              <w:br/>
            </w:r>
            <w:r>
              <w:rPr>
                <w:rFonts w:ascii="仿宋_GB2312" w:hAnsi="仿宋_GB2312" w:cs="仿宋_GB2312" w:eastAsia="仿宋_GB2312"/>
              </w:rPr>
              <w:t xml:space="preserve"> 23、可实现软硬件升级，完全的水电路上下分离设计，单独水路控制系统，增加机器的安全性。</w:t>
            </w:r>
            <w:r>
              <w:br/>
            </w:r>
            <w:r>
              <w:rPr>
                <w:rFonts w:ascii="仿宋_GB2312" w:hAnsi="仿宋_GB2312" w:cs="仿宋_GB2312" w:eastAsia="仿宋_GB2312"/>
              </w:rPr>
              <w:t xml:space="preserve"> 24、电源供应：电压230V AC, ±10%, 47/63 HZ下连续工作，能抗电磁冲击，电磁干扰。</w:t>
            </w:r>
            <w:r>
              <w:br/>
            </w:r>
            <w:r>
              <w:rPr>
                <w:rFonts w:ascii="仿宋_GB2312" w:hAnsi="仿宋_GB2312" w:cs="仿宋_GB2312" w:eastAsia="仿宋_GB2312"/>
              </w:rPr>
              <w:t xml:space="preserve"> 25、供水：进水压：1.5～6.0 bar，进水温度：10℃～30℃。</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自合同签订之日起15个日历天内，完成设备的供货、安装、调试并达到验收合格标准。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医院指定的场地（供应商需配合医院完成场地勘测，确保设备安装条件符合要求）</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设备到货并完成安装调试、验收合格后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验收合格后之日起满6个月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验收合格后之日起满12个月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整机保修不少于1年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 条款和本合同约定，中标供应商未全面履行合同义务或者发生违约的，采购单位会同采购代理机构有权终止合同，依法向中标 供应商进行经济索赔，并报请政府采购监督管理机关进行相应的行政处罚。采购单位违约的，应当赔偿给中标供应商造成的经 济损失。 合同争议的解决：合同执行中发生争议的，当事人双方应协商解决，协商达不成一致时，可向采购人住所地有管辖 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1.为保证项目存档使用与采购人要求,供应商须在投标截止日前递交纸质版响应文件，纸质版响应文件递交要求：正本壹份、副本壹份、电子版文件贰份（U盘）。 2.密封包装方式：响应文件正本一个封袋、副本一个封袋、电子版文件放置正本封袋内，电子版文件须粘贴注明投标人名称的标签，密封完整。3.纸制版文件须为陕西省政府采购网电子交易平台上传的响应文件签章版（无须另外盖章），递交方式为邮寄或者现场递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营业执照符合招标文件要求</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 人证书等国家规定的相关证明，自然人参与的提供其身份证明。</w:t>
            </w:r>
          </w:p>
        </w:tc>
        <w:tc>
          <w:tcPr>
            <w:tcW w:type="dxa" w:w="1661"/>
          </w:tcPr>
          <w:p>
            <w:pPr>
              <w:pStyle w:val="null3"/>
            </w:pPr>
            <w:r>
              <w:rPr>
                <w:rFonts w:ascii="仿宋_GB2312" w:hAnsi="仿宋_GB2312" w:cs="仿宋_GB2312" w:eastAsia="仿宋_GB2312"/>
              </w:rPr>
              <w:t>其他资料.docx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社会保障资金缴纳证明符合招标文件要求</w:t>
            </w:r>
          </w:p>
        </w:tc>
        <w:tc>
          <w:tcPr>
            <w:tcW w:type="dxa" w:w="3322"/>
          </w:tcPr>
          <w:p>
            <w:pPr>
              <w:pStyle w:val="null3"/>
            </w:pPr>
            <w:r>
              <w:rPr>
                <w:rFonts w:ascii="仿宋_GB2312" w:hAnsi="仿宋_GB2312" w:cs="仿宋_GB2312" w:eastAsia="仿宋_GB2312"/>
              </w:rPr>
              <w:t>投标人提供2025年1月至今已缴纳的至少3个月的社会保障资金缴存单据或社保机构开具的社会保险 参保缴费情况证明，单据或证明上应有社保机构或代收机构的公章。依法不需要缴纳社会保障资金 的供应商应提供相关文件证明。</w:t>
            </w:r>
          </w:p>
        </w:tc>
        <w:tc>
          <w:tcPr>
            <w:tcW w:type="dxa" w:w="1661"/>
          </w:tcPr>
          <w:p>
            <w:pPr>
              <w:pStyle w:val="null3"/>
            </w:pPr>
            <w:r>
              <w:rPr>
                <w:rFonts w:ascii="仿宋_GB2312" w:hAnsi="仿宋_GB2312" w:cs="仿宋_GB2312" w:eastAsia="仿宋_GB2312"/>
              </w:rPr>
              <w:t>其他资料.docx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税收缴纳证明符合招标文件要求</w:t>
            </w:r>
          </w:p>
        </w:tc>
        <w:tc>
          <w:tcPr>
            <w:tcW w:type="dxa" w:w="3322"/>
          </w:tcPr>
          <w:p>
            <w:pPr>
              <w:pStyle w:val="null3"/>
            </w:pPr>
            <w:r>
              <w:rPr>
                <w:rFonts w:ascii="仿宋_GB2312" w:hAnsi="仿宋_GB2312" w:cs="仿宋_GB2312" w:eastAsia="仿宋_GB2312"/>
              </w:rPr>
              <w:t>投标人提供2025年1月至今已缴纳的至少3个月纳税证明或完税证明，依法免税的单位应提供相关证明材料。</w:t>
            </w:r>
          </w:p>
        </w:tc>
        <w:tc>
          <w:tcPr>
            <w:tcW w:type="dxa" w:w="1661"/>
          </w:tcPr>
          <w:p>
            <w:pPr>
              <w:pStyle w:val="null3"/>
            </w:pPr>
            <w:r>
              <w:rPr>
                <w:rFonts w:ascii="仿宋_GB2312" w:hAnsi="仿宋_GB2312" w:cs="仿宋_GB2312" w:eastAsia="仿宋_GB2312"/>
              </w:rPr>
              <w:t>其他资料.docx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财务审计报告符合招标文件要求</w:t>
            </w:r>
          </w:p>
        </w:tc>
        <w:tc>
          <w:tcPr>
            <w:tcW w:type="dxa" w:w="3322"/>
          </w:tcPr>
          <w:p>
            <w:pPr>
              <w:pStyle w:val="null3"/>
            </w:pPr>
            <w:r>
              <w:rPr>
                <w:rFonts w:ascii="仿宋_GB2312" w:hAnsi="仿宋_GB2312" w:cs="仿宋_GB2312" w:eastAsia="仿宋_GB2312"/>
              </w:rPr>
              <w:t>投标人提供本单位经会计师事务所审计的2024年财务审计报告，或在开标日期前6个月内其基本开 户银行出具的资信证明。</w:t>
            </w:r>
          </w:p>
        </w:tc>
        <w:tc>
          <w:tcPr>
            <w:tcW w:type="dxa" w:w="1661"/>
          </w:tcPr>
          <w:p>
            <w:pPr>
              <w:pStyle w:val="null3"/>
            </w:pPr>
            <w:r>
              <w:rPr>
                <w:rFonts w:ascii="仿宋_GB2312" w:hAnsi="仿宋_GB2312" w:cs="仿宋_GB2312" w:eastAsia="仿宋_GB2312"/>
              </w:rPr>
              <w:t>其他资料.docx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书面声明符合招标文件要求</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其他资料.docx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授权委托书及身份证符合招标文件要求</w:t>
            </w:r>
          </w:p>
        </w:tc>
        <w:tc>
          <w:tcPr>
            <w:tcW w:type="dxa" w:w="3322"/>
          </w:tcPr>
          <w:p>
            <w:pPr>
              <w:pStyle w:val="null3"/>
            </w:pPr>
            <w:r>
              <w:rPr>
                <w:rFonts w:ascii="仿宋_GB2312" w:hAnsi="仿宋_GB2312" w:cs="仿宋_GB2312" w:eastAsia="仿宋_GB2312"/>
              </w:rPr>
              <w:t>法定代表人授权委托书（附法定代表人或负责人身份证复印件及被授权人身份证复印件）；法定代 表人或负责人直接参加投标只须提供法定代表人资格证明书（附法定代表人或负责人身份证复印件 ）。</w:t>
            </w:r>
          </w:p>
        </w:tc>
        <w:tc>
          <w:tcPr>
            <w:tcW w:type="dxa" w:w="1661"/>
          </w:tcPr>
          <w:p>
            <w:pPr>
              <w:pStyle w:val="null3"/>
            </w:pPr>
            <w:r>
              <w:rPr>
                <w:rFonts w:ascii="仿宋_GB2312" w:hAnsi="仿宋_GB2312" w:cs="仿宋_GB2312" w:eastAsia="仿宋_GB2312"/>
              </w:rPr>
              <w:t>其他资料.docx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投标人资质符合招标文件要求</w:t>
            </w:r>
          </w:p>
        </w:tc>
        <w:tc>
          <w:tcPr>
            <w:tcW w:type="dxa" w:w="3322"/>
          </w:tcPr>
          <w:p>
            <w:pPr>
              <w:pStyle w:val="null3"/>
            </w:pPr>
            <w:r>
              <w:rPr>
                <w:rFonts w:ascii="仿宋_GB2312" w:hAnsi="仿宋_GB2312" w:cs="仿宋_GB2312" w:eastAsia="仿宋_GB2312"/>
              </w:rPr>
              <w:t>投标人为生产厂家须提供有效的医疗器械生产许可证(或医疗器械生产备案凭证)、医疗器械注册证的 复印件并加盖投标人公章；投标人为代理商的须提供有效的医疗器械经营许可证、医疗器械经营备 案证的复印件并加盖投标人公章。</w:t>
            </w:r>
          </w:p>
        </w:tc>
        <w:tc>
          <w:tcPr>
            <w:tcW w:type="dxa" w:w="1661"/>
          </w:tcPr>
          <w:p>
            <w:pPr>
              <w:pStyle w:val="null3"/>
            </w:pPr>
            <w:r>
              <w:rPr>
                <w:rFonts w:ascii="仿宋_GB2312" w:hAnsi="仿宋_GB2312" w:cs="仿宋_GB2312" w:eastAsia="仿宋_GB2312"/>
              </w:rPr>
              <w:t>其他资料.docx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投标人产品符合招标文件要求</w:t>
            </w:r>
          </w:p>
        </w:tc>
        <w:tc>
          <w:tcPr>
            <w:tcW w:type="dxa" w:w="3322"/>
          </w:tcPr>
          <w:p>
            <w:pPr>
              <w:pStyle w:val="null3"/>
            </w:pPr>
            <w:r>
              <w:rPr>
                <w:rFonts w:ascii="仿宋_GB2312" w:hAnsi="仿宋_GB2312" w:cs="仿宋_GB2312" w:eastAsia="仿宋_GB2312"/>
              </w:rPr>
              <w:t>提供投标产品的医疗器械生产许可证(或医疗器械生产备案凭证)、医疗器械注册证的复印件并加盖投 标人公章。</w:t>
            </w:r>
          </w:p>
        </w:tc>
        <w:tc>
          <w:tcPr>
            <w:tcW w:type="dxa" w:w="1661"/>
          </w:tcPr>
          <w:p>
            <w:pPr>
              <w:pStyle w:val="null3"/>
            </w:pPr>
            <w:r>
              <w:rPr>
                <w:rFonts w:ascii="仿宋_GB2312" w:hAnsi="仿宋_GB2312" w:cs="仿宋_GB2312" w:eastAsia="仿宋_GB2312"/>
              </w:rPr>
              <w:t>其他资料.docx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提供截图应真实有效，符合招标文件要求</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其他资料.docx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非联合体承诺书符合招标文件要求</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其他资料.docx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书面声明符合招标文件要求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 购活动。</w:t>
            </w:r>
          </w:p>
        </w:tc>
        <w:tc>
          <w:tcPr>
            <w:tcW w:type="dxa" w:w="1661"/>
          </w:tcPr>
          <w:p>
            <w:pPr>
              <w:pStyle w:val="null3"/>
            </w:pPr>
            <w:r>
              <w:rPr>
                <w:rFonts w:ascii="仿宋_GB2312" w:hAnsi="仿宋_GB2312" w:cs="仿宋_GB2312" w:eastAsia="仿宋_GB2312"/>
              </w:rPr>
              <w:t>其他资料.docx 投标人应提交的相关资格证明材料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投标保证金缴纳符合招标文件要求</w:t>
            </w:r>
          </w:p>
        </w:tc>
        <w:tc>
          <w:tcPr>
            <w:tcW w:type="dxa" w:w="3322"/>
          </w:tcPr>
          <w:p>
            <w:pPr>
              <w:pStyle w:val="null3"/>
            </w:pPr>
            <w:r>
              <w:rPr>
                <w:rFonts w:ascii="仿宋_GB2312" w:hAnsi="仿宋_GB2312" w:cs="仿宋_GB2312" w:eastAsia="仿宋_GB2312"/>
              </w:rPr>
              <w:t>投标保证金缴纳凭证回单或电子保函。</w:t>
            </w:r>
          </w:p>
        </w:tc>
        <w:tc>
          <w:tcPr>
            <w:tcW w:type="dxa" w:w="1661"/>
          </w:tcPr>
          <w:p>
            <w:pPr>
              <w:pStyle w:val="null3"/>
            </w:pPr>
            <w:r>
              <w:rPr>
                <w:rFonts w:ascii="仿宋_GB2312" w:hAnsi="仿宋_GB2312" w:cs="仿宋_GB2312" w:eastAsia="仿宋_GB2312"/>
              </w:rPr>
              <w:t>其他资料.docx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投标处理：（1）投标响应文件未按照招标文件规定要求签署、盖章的；（2）投标有效期未满足招标文件要求的；（3）报价超过招标文件中规定的预算金额或者最高限价的；（4）对招标文件商务、技术要求出现重大负偏离 的；(5)法律、法规招标文件规定的其他无效情形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其他资料.docx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投标报价</w:t>
            </w:r>
          </w:p>
        </w:tc>
        <w:tc>
          <w:tcPr>
            <w:tcW w:type="dxa" w:w="2492"/>
          </w:tcPr>
          <w:p>
            <w:pPr>
              <w:pStyle w:val="null3"/>
            </w:pPr>
            <w:r>
              <w:rPr>
                <w:rFonts w:ascii="仿宋_GB2312" w:hAnsi="仿宋_GB2312" w:cs="仿宋_GB2312" w:eastAsia="仿宋_GB2312"/>
              </w:rPr>
              <w:t>1.价格分采用低价优先法计算，即满足招标文件要求且 响应价格最低的投标报价为评标基准价，其价格分为 满分。其他供应商的价格分统一按照下列公式计算： 评标价得分=(评标基准价／投标价)×30。 2.投标报价不完整的，不进入评标标准价的计算，本项得0分。 3.经评委一致认定，投标人的投标总报价低于公认市场成本，或超过采购预算,其投标将被拒绝。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根据响应文件对采购文件产品详细技术参数和性能指标的响应程度，供应商应对详细技术参数逐条响应，供应商完全响应技术参数，无偏离，得30分，每出现一条负偏离扣2分，扣完为止。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投标设备的可靠性、稳定性及技术上的先进性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护、操作条件、现代新技术的应用等方面具有技术上的先进性，并能提供生产厂家出具的、响应的功能证明材料（包括但不限于检测报告、官网截图、彩页、白皮书、说明书等相关资料）。一般0-3分，良好4-7分，优秀 8-10分。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自2022年11月以来（以合同签订时间为准），提供供应商所投产品同品牌、同型号供货业绩的，每提供一个业绩得1分，满分3分。 注：1、此处业绩系指产品业绩，不限合同签订主体。 2、响应文件中提供合同扫描件或影印件，如合同中无法体现签订时间、 产品品牌、型号等相关信息的，须同时另附业主证明材料扫描件或影印件，否则不得分。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 保证</w:t>
            </w:r>
          </w:p>
        </w:tc>
        <w:tc>
          <w:tcPr>
            <w:tcW w:type="dxa" w:w="2492"/>
          </w:tcPr>
          <w:p>
            <w:pPr>
              <w:pStyle w:val="null3"/>
            </w:pPr>
            <w:r>
              <w:rPr>
                <w:rFonts w:ascii="仿宋_GB2312" w:hAnsi="仿宋_GB2312" w:cs="仿宋_GB2312" w:eastAsia="仿宋_GB2312"/>
              </w:rPr>
              <w:t>所投设备制造厂家有足够的设计、工艺、加工、 检测能力；所投产品符合国际、国内相关标准，有具 体可行的质量保证承诺，保证使用单位能熟练操作维护和正常使用，按其优劣程度计0-8分。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项目组织实施计划完整可行，资金等保障措施可靠，能够保证按期供货，具有明确的项目组织机构及实施方案，评标委员会从以下方面进行比较后赋分。（0-6 分） （1）备货、供货进度及保证措施 （2）拟投入本项目的人员安排及责任制度 （3）产品安装、检测、调试等方面保证措施。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具备原厂服务承诺函、 完善的售后服务体系、有实时响应的售后服务人员、有可行的设备维护维修措施，有详细得当的质保期内服务措施，得8分，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的针对性、方案及计划目的合理性进行综合比较评分，方案及计划合理科学、可行、针对性强得5分，方案及计划较合理、基本满足服务需要得1-4分，不提供不得分。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详见附件：商洛市中医医院医疗设备采购合同（参考模板）.docx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