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版本号：SXZTFY-2025-002720251219001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商州公安分局黑山、麻街、牧护关、板桥派出所空调安装工程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SXZTFY-2025-0027</w:t>
      </w:r>
      <w:r>
        <w:br/>
      </w:r>
      <w:r>
        <w:br/>
      </w:r>
      <w:r>
        <w:br/>
      </w:r>
    </w:p>
    <w:p>
      <w:pPr>
        <w:pStyle w:val="null3"/>
        <w:jc w:val="center"/>
        <w:outlineLvl w:val="2"/>
      </w:pPr>
      <w:r>
        <w:rPr>
          <w:rFonts w:ascii="仿宋_GB2312" w:hAnsi="仿宋_GB2312" w:cs="仿宋_GB2312" w:eastAsia="仿宋_GB2312"/>
          <w:sz w:val="28"/>
          <w:b/>
        </w:rPr>
        <w:t>商洛市公安局商州分局</w:t>
      </w:r>
    </w:p>
    <w:p>
      <w:pPr>
        <w:pStyle w:val="null3"/>
        <w:jc w:val="center"/>
        <w:outlineLvl w:val="2"/>
      </w:pPr>
      <w:r>
        <w:rPr>
          <w:rFonts w:ascii="仿宋_GB2312" w:hAnsi="仿宋_GB2312" w:cs="仿宋_GB2312" w:eastAsia="仿宋_GB2312"/>
          <w:sz w:val="28"/>
          <w:b/>
        </w:rPr>
        <w:t>陕西众泰丰源工程项目管理有限公司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陕西众泰丰源工程项目管理有限公司</w:t>
      </w:r>
      <w:r>
        <w:rPr>
          <w:rFonts w:ascii="仿宋_GB2312" w:hAnsi="仿宋_GB2312" w:cs="仿宋_GB2312" w:eastAsia="仿宋_GB2312"/>
        </w:rPr>
        <w:t>（以下简称“代理机构”）受</w:t>
      </w:r>
      <w:r>
        <w:rPr>
          <w:rFonts w:ascii="仿宋_GB2312" w:hAnsi="仿宋_GB2312" w:cs="仿宋_GB2312" w:eastAsia="仿宋_GB2312"/>
        </w:rPr>
        <w:t>商洛市公安局商州分局</w:t>
      </w:r>
      <w:r>
        <w:rPr>
          <w:rFonts w:ascii="仿宋_GB2312" w:hAnsi="仿宋_GB2312" w:cs="仿宋_GB2312" w:eastAsia="仿宋_GB2312"/>
        </w:rPr>
        <w:t>委托，拟对</w:t>
      </w:r>
      <w:r>
        <w:rPr>
          <w:rFonts w:ascii="仿宋_GB2312" w:hAnsi="仿宋_GB2312" w:cs="仿宋_GB2312" w:eastAsia="仿宋_GB2312"/>
        </w:rPr>
        <w:t>商州公安分局黑山、麻街、牧护关、板桥派出所空调安装工程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SXZTFY-2025-0027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商州公安分局黑山、麻街、牧护关、板桥派出所空调安装工程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本次采购内容为中央空调的供货、安装、调试以及其他伴随服务；地点涉及黑山、麻街、牧护关、板桥。工期:签订合同后30天内完成本次采购空调的供货、安装、调试; 质保期:1年; 质量:合格。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采购包1（商州公安分局黑山、麻街、牧护关、板桥派出所空调安装工程）：属于专门面向中小企业采购。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1、营业执照：供应商在中华人民共和国境内注册，具有独立承担民事责任能力的法人或其他组织，提供营业执照或其他组织合法有效的证明文件;</w:t>
      </w:r>
    </w:p>
    <w:p>
      <w:pPr>
        <w:pStyle w:val="null3"/>
      </w:pPr>
      <w:r>
        <w:rPr>
          <w:rFonts w:ascii="仿宋_GB2312" w:hAnsi="仿宋_GB2312" w:cs="仿宋_GB2312" w:eastAsia="仿宋_GB2312"/>
        </w:rPr>
        <w:t>2、授权代表：法定代表人授权书(附法定代表人、被授权人身份证复印件)及被授权人身份证(法定代表人直接参加投标须提供法定代表人身份证明及身份证原件)；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3、查询截图：供应商不得在“信用中国"网站(www.creditchina.gov.cn)中被列入重大税收违法失信主体的当事人，不得在“中国执行信息公开网"http://zxgk.court.gov.cn)网站中被列为失信被执行人，不得为“中国政府采购网"(www.ccgp.gov.cn)政府采购严重违法失信行为记录名单中被财政部门禁止参加政府采购活动的供应商(附网站查询截图);</w:t>
      </w:r>
    </w:p>
    <w:p>
      <w:pPr>
        <w:pStyle w:val="null3"/>
      </w:pPr>
      <w:r>
        <w:rPr>
          <w:rFonts w:ascii="仿宋_GB2312" w:hAnsi="仿宋_GB2312" w:cs="仿宋_GB2312" w:eastAsia="仿宋_GB2312"/>
        </w:rPr>
        <w:t>4、财务状况证明：提供具有财务审计资质单位出具的2024年度的财务报告(成立时间至开标时间不足一年的可提供成立后任意时段的资产负债表)或开标前六个月内其基本账户银行出具的资信证明(附开户许可证或开户备案证明)；</w:t>
      </w:r>
    </w:p>
    <w:p>
      <w:pPr>
        <w:pStyle w:val="null3"/>
      </w:pPr>
      <w:r>
        <w:rPr>
          <w:rFonts w:ascii="仿宋_GB2312" w:hAnsi="仿宋_GB2312" w:cs="仿宋_GB2312" w:eastAsia="仿宋_GB2312"/>
        </w:rPr>
        <w:t>5、税收缴纳证明：提供2024年至响应文件递交截止时间前任意一个月任意税种的完税证明或提供税务部门出具的纳税证明，依法免税的单位应提供相关证明材料；</w:t>
      </w:r>
    </w:p>
    <w:p>
      <w:pPr>
        <w:pStyle w:val="null3"/>
      </w:pPr>
      <w:r>
        <w:rPr>
          <w:rFonts w:ascii="仿宋_GB2312" w:hAnsi="仿宋_GB2312" w:cs="仿宋_GB2312" w:eastAsia="仿宋_GB2312"/>
        </w:rPr>
        <w:t>6、社会保障资金缴纳证明：提供2024年至响应文件递交截止时间前已缴纳的任意一个月的社会保障资金缴存单据或社保机构开具的社会保险参保缴费情况证明;依法不需要缴纳社会保障资金的应提供相关文件证明；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7、书面声明：参加本次政府采购活动前三年内在经营活动中没有重大违法记录的书面声明；</w:t>
      </w:r>
    </w:p>
    <w:p>
      <w:pPr>
        <w:pStyle w:val="null3"/>
      </w:pPr>
      <w:r>
        <w:rPr>
          <w:rFonts w:ascii="仿宋_GB2312" w:hAnsi="仿宋_GB2312" w:cs="仿宋_GB2312" w:eastAsia="仿宋_GB2312"/>
        </w:rPr>
        <w:t>8、承诺：供应商具备履行合同所必需的设备和专业技术能力的承诺；</w:t>
      </w:r>
    </w:p>
    <w:p>
      <w:pPr>
        <w:pStyle w:val="null3"/>
      </w:pPr>
      <w:r>
        <w:rPr>
          <w:rFonts w:ascii="仿宋_GB2312" w:hAnsi="仿宋_GB2312" w:cs="仿宋_GB2312" w:eastAsia="仿宋_GB2312"/>
        </w:rPr>
        <w:t>9、资质要求：供应商应具备机电工程施工总承包三级及以上资质或建筑工程施工总承包三级及以上资质，具备有效的安全生产许可证；</w:t>
      </w:r>
    </w:p>
    <w:p>
      <w:pPr>
        <w:pStyle w:val="null3"/>
      </w:pPr>
      <w:r>
        <w:rPr>
          <w:rFonts w:ascii="仿宋_GB2312" w:hAnsi="仿宋_GB2312" w:cs="仿宋_GB2312" w:eastAsia="仿宋_GB2312"/>
        </w:rPr>
        <w:t>10、拟派项目负责人资质专业要求：拟派项目负责人具有机电工程专业二级及以上注册建造师执业资格或建筑工程专业二级以上注册建造师执业资格，具备有效的安全生产考核合格证书，且不得担任其他在建施工项目的项目负责人；</w:t>
      </w:r>
    </w:p>
    <w:p>
      <w:pPr>
        <w:pStyle w:val="null3"/>
      </w:pPr>
      <w:r>
        <w:rPr>
          <w:rFonts w:ascii="仿宋_GB2312" w:hAnsi="仿宋_GB2312" w:cs="仿宋_GB2312" w:eastAsia="仿宋_GB2312"/>
        </w:rPr>
        <w:t>11、磋商保证金：供应商提供磋商保证金缴纳凭证。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商洛市公安局商州分局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商洛市商州区江滨路东段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商洛市公安局商州分局经办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15091560534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陕西众泰丰源工程项目管理有限公司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陕西省商洛市商州区陕西省商洛市商州区城关街道办事处四皓社区民和路设计院16楼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19909144811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采购包1：1,384,552.00元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开户名称：陕西众泰丰源工程项目管理有限公司</w:t>
            </w:r>
          </w:p>
          <w:p>
            <w:pPr>
              <w:pStyle w:val="null3"/>
            </w:pPr>
            <w:r>
              <w:rPr>
                <w:rFonts w:ascii="仿宋_GB2312" w:hAnsi="仿宋_GB2312" w:cs="仿宋_GB2312" w:eastAsia="仿宋_GB2312"/>
              </w:rPr>
              <w:t>开户银行：中国建设银行股份有限公司商洛分行</w:t>
            </w:r>
          </w:p>
          <w:p>
            <w:pPr>
              <w:pStyle w:val="null3"/>
            </w:pPr>
            <w:r>
              <w:rPr>
                <w:rFonts w:ascii="仿宋_GB2312" w:hAnsi="仿宋_GB2312" w:cs="仿宋_GB2312" w:eastAsia="仿宋_GB2312"/>
              </w:rPr>
              <w:t>银行账号：6105 0167 0014 0000 1376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招标代理服务收费管理暂行办法》的通知(计价格(2002)1980号)、《国家发展改革委关于降低部分建设项目收费标准规范收费行为等有关问题的通知》(发改价格[2011]534号)规定的收费标准收取，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商洛市公安局商州分局</w:t>
      </w:r>
      <w:r>
        <w:rPr>
          <w:rFonts w:ascii="仿宋_GB2312" w:hAnsi="仿宋_GB2312" w:cs="仿宋_GB2312" w:eastAsia="仿宋_GB2312"/>
        </w:rPr>
        <w:t>和</w:t>
      </w:r>
      <w:r>
        <w:rPr>
          <w:rFonts w:ascii="仿宋_GB2312" w:hAnsi="仿宋_GB2312" w:cs="仿宋_GB2312" w:eastAsia="仿宋_GB2312"/>
        </w:rPr>
        <w:t>陕西众泰丰源工程项目管理有限公司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商洛市公安局商州分局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陕西众泰丰源工程项目管理有限公司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商洛市公安局商州分局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陕西众泰丰源工程项目管理有限公司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联系人：吴娇</w:t>
      </w:r>
    </w:p>
    <w:p>
      <w:pPr>
        <w:pStyle w:val="null3"/>
      </w:pPr>
      <w:r>
        <w:rPr>
          <w:rFonts w:ascii="仿宋_GB2312" w:hAnsi="仿宋_GB2312" w:cs="仿宋_GB2312" w:eastAsia="仿宋_GB2312"/>
        </w:rPr>
        <w:t>联系电话：17791182771</w:t>
      </w:r>
    </w:p>
    <w:p>
      <w:pPr>
        <w:pStyle w:val="null3"/>
      </w:pPr>
      <w:r>
        <w:rPr>
          <w:rFonts w:ascii="仿宋_GB2312" w:hAnsi="仿宋_GB2312" w:cs="仿宋_GB2312" w:eastAsia="仿宋_GB2312"/>
        </w:rPr>
        <w:t>地址：商洛市商州区城关街道办事处通江路九号</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1,384,552.00</w:t>
      </w:r>
    </w:p>
    <w:p>
      <w:pPr>
        <w:pStyle w:val="null3"/>
      </w:pPr>
      <w:r>
        <w:rPr>
          <w:rFonts w:ascii="仿宋_GB2312" w:hAnsi="仿宋_GB2312" w:cs="仿宋_GB2312" w:eastAsia="仿宋_GB2312"/>
        </w:rPr>
        <w:t>采购包最高限价（元）: 1,384,552.00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空调</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1,384,552.00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商州公安分局黑山、麻街、牧护关、板桥派出所空调安装工程，1、工期：签订合同后30天内完成本次采购空调的供货、安装、调试；2、质保期:1年； 3、质量:合格；4、付款方式:（1）甲方在本合同签订生效后7日内，支付合同总金额的40.00%。（2）全部产品安装调试完毕并验收合格后，达到付款条件起7日内，支付合同总金额的55.00%。（3）剩余5%作为质保金在验收合格满一年后一次性支付，达到付款条件起7日内，支付合同总金额的5.00%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供应商在中华人民共和国境内注册，具有独立承担民事责任能力的法人或其他组织，提供营业执照或其他组织合法有效的证明文件;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供应商不得在“信用中国"网站(www.creditchina.gov.cn)中被列入重大税收违法失信主体的当事人，不得在“中国执行信息公开网"http://zxgk.court.gov.cn)网站中被列为失信被执行人，不得为“中国政府采购网"(www.ccgp.gov.cn)政府采购严重违法失信行为记录名单中被财政部门禁止参加政府采购活动的供应商(附网站查询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提供具有财务审计资质单位出具的2024年度的财务报告(成立时间至开标时间不足一年的可提供成立后任意时段的资产负债表)或开标前六个月内其基本账户银行出具的资信证明(附开户许可证或开户备案证明)；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提供2024年至响应文件递交截止时间前任意一个月任意税种的完税证明或提供税务部门出具的纳税证明，依法免税的单位应提供相关证明材料；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提供2024年至响应文件递交截止时间前已缴纳的任意一个月的社会保障资金缴存单据或社保机构开具的社会保险参保缴费情况证明;依法不需要缴纳社会保障资金的应提供相关文件证明；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供应商具备履行合同所必需的设备和专业技术能力的承诺；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供应商应具备机电工程施工总承包三级及以上资质或建筑工程施工总承包三级及以上资质，具备有效的安全生产许可证；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拟派项目负责人资质专业要求</w:t>
            </w:r>
          </w:p>
        </w:tc>
        <w:tc>
          <w:tcPr>
            <w:tcW w:type="dxa" w:w="3322"/>
          </w:tcPr>
          <w:p>
            <w:pPr>
              <w:pStyle w:val="null3"/>
            </w:pPr>
            <w:r>
              <w:rPr>
                <w:rFonts w:ascii="仿宋_GB2312" w:hAnsi="仿宋_GB2312" w:cs="仿宋_GB2312" w:eastAsia="仿宋_GB2312"/>
              </w:rPr>
              <w:t>拟派项目负责人具有机电工程专业二级及以上注册建造师执业资格或建筑工程专业二级以上注册建造师执业资格，具备有效的安全生产考核合格证书，且不得担任其他在建施工项目的项目负责人；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响应文件需在项目电子化交易系统中按竞争性磋商文件要求签署并进行电子签章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供应商每次报价只能有一个有效报价，原则上二次报价为最后报价，且一次报价不得超过最高投标限价，二次报价不得超过一次报价和最高投标限价</w:t>
            </w:r>
          </w:p>
        </w:tc>
        <w:tc>
          <w:tcPr>
            <w:tcW w:type="dxa" w:w="1661"/>
          </w:tcPr>
          <w:p>
            <w:pPr>
              <w:pStyle w:val="null3"/>
            </w:pPr>
            <w:r>
              <w:rPr>
                <w:rFonts w:ascii="仿宋_GB2312" w:hAnsi="仿宋_GB2312" w:cs="仿宋_GB2312" w:eastAsia="仿宋_GB2312"/>
              </w:rPr>
              <w:t>响应文件封面 供应商应提交的相关资格证明材料 标的清单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供应商应按照竞争性磋商文件的规定缴纳磋商保证金</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技术服务合同条款及其他商务要求应答表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技术服务合同条款及其他商务要求应答表 供应商应提交的相关资格证明材料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满足磋商文件要求的，得15分。技术指标和性能优于磋商文件要求，每项加1分，最高加5分。备注:上述优于磋商标文件的指标须有佐证材料否则不予加分(佐证材料例如:制造厂商检验报告、产品彩页、官网功能截图等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需针对本项目提供完整的项目实施方案。内容包含:①供货组织及进度安排②运输方案③安装调试验收方案④培训方案:实施方案合理全面、切合本项目实际情况、内容科学的计7-10分;实施方案比较合理全面，基本符合本项目实际情况、内容比较科学可行的计4-6分;实施方案不够合理全面，不符合本项目实际情况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针对本项目编制具体可行的安全文明施工措施。内容包含:①施工现场环境保护措施②文明施工措施③安全防护措施④临时用电措施。措施合理全面、切合本项目实际情况、内容科学的计7-9分:措施比较合理全面，基本符合本项目实际情况、内容比较科学可行的计4-6分:措施不够合理全面，不符合本项目实际情况的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根据项目实际需求，提供质量保证方案。内容包含:①质量保证体系②质量保证措施 质量保证体系及措施合理全面、切合本项目实际情况、内容科学的计7-9分:质量保证体系及措施比较合理全面，基本符合本项目实际情况、内容比较科学可行的计4-6分;质量保证体系及措施不够合理全面，不符合本项目实际情况的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例如:产品制造商授权、销售协议、代理协议等证明文件),提供合法来源渠道证明文件得2分。不提供不得分。备注:以加盖投标人公章的证明材料扫描件或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认定为节能产品的，每种产品得0.5分，最高得1分:所投产品认定为环保产品的，每种产品得0.5分，最高得1分:既是节能产品又是环保产品可同时得分，非节能、环保产品的不得分。属于强制采购的节能产品，不再给予加分。节能产品环境标志产品为品目清单中产品并取得认证证书，且在有效期内。</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以投标人2022年12月至今类似项目业绩(以合同时间为准，截止日为本项目公告发布之日)计算，每份合同为1个业绩，得3分，最高得6分。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根据项目实际需求提供售后服务方案。内容包含:①售后服务范围②故障处理及补救措施③售后服务保障措施④定期回访及维护。售后方案合理全面、切合本项目实际情况、内容科学的计7-9分;售后方案比较合理全面，基本符合本项目实际情况、内容比较科学可行的计4-6分;售后方案不够合理全面，不符合本项目实际情况的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质保期承诺</w:t>
            </w:r>
          </w:p>
        </w:tc>
        <w:tc>
          <w:tcPr>
            <w:tcW w:type="dxa" w:w="2492"/>
          </w:tcPr>
          <w:p>
            <w:pPr>
              <w:pStyle w:val="null3"/>
            </w:pPr>
            <w:r>
              <w:rPr>
                <w:rFonts w:ascii="仿宋_GB2312" w:hAnsi="仿宋_GB2312" w:cs="仿宋_GB2312" w:eastAsia="仿宋_GB2312"/>
              </w:rPr>
              <w:t>承诺质保期在满足磋商文件(1年)要求的基础上，每增加一年得1分，最高得3分。无承诺不得分。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磋商报价，以供应商的有效最低价作为评审基准价，磋商报价不完整的，不进入评审标准价的计算，本项得0分。2.报价得分=(评审基准价/有效报价)x303.经评委一致认定，供应商的磋商最终总报价可能影响产品质量或者不能诚信履约的，应当要求其在评标现场合理的时间内提供书面说明，必要时提交相关证明材料;供应商不能证明其报价合理性的，评标委员会应当将其作为无效投标处理，或超过采购预算,其响应将被拒绝。4.本项目为专门面向中小企业采购的预留项目，不再执行“价格评审优惠"的扶持政策。5.投标报价得分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