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B360">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 xml:space="preserve"> 政府采购合同格式</w:t>
      </w:r>
    </w:p>
    <w:p w14:paraId="0BCC8D93">
      <w:pPr>
        <w:pStyle w:val="7"/>
        <w:spacing w:line="360" w:lineRule="auto"/>
        <w:ind w:firstLine="420"/>
        <w:rPr>
          <w:rFonts w:hint="eastAsia" w:ascii="宋体" w:hAnsi="宋体"/>
          <w:sz w:val="21"/>
          <w:szCs w:val="21"/>
        </w:rPr>
      </w:pPr>
      <w:r>
        <w:rPr>
          <w:rFonts w:hint="eastAsia" w:ascii="宋体" w:hAnsi="宋体"/>
          <w:sz w:val="21"/>
          <w:szCs w:val="21"/>
        </w:rPr>
        <w:t xml:space="preserve">合同编号： </w:t>
      </w:r>
    </w:p>
    <w:p w14:paraId="5C071C87">
      <w:pPr>
        <w:pStyle w:val="7"/>
        <w:spacing w:line="360" w:lineRule="auto"/>
        <w:ind w:firstLine="420"/>
        <w:rPr>
          <w:rFonts w:hint="eastAsia" w:ascii="宋体" w:hAnsi="宋体"/>
          <w:sz w:val="21"/>
          <w:szCs w:val="21"/>
        </w:rPr>
      </w:pPr>
      <w:r>
        <w:rPr>
          <w:rFonts w:hint="eastAsia" w:ascii="宋体" w:hAnsi="宋体"/>
          <w:sz w:val="21"/>
          <w:szCs w:val="21"/>
        </w:rPr>
        <w:t xml:space="preserve">签订地点： </w:t>
      </w:r>
    </w:p>
    <w:p w14:paraId="792D7461">
      <w:pPr>
        <w:pStyle w:val="7"/>
        <w:spacing w:line="360" w:lineRule="auto"/>
        <w:ind w:firstLine="420"/>
        <w:rPr>
          <w:rFonts w:hint="eastAsia" w:ascii="宋体" w:hAnsi="宋体"/>
          <w:sz w:val="21"/>
          <w:szCs w:val="21"/>
        </w:rPr>
      </w:pPr>
      <w:r>
        <w:rPr>
          <w:rFonts w:hint="eastAsia" w:ascii="宋体" w:hAnsi="宋体"/>
          <w:sz w:val="21"/>
          <w:szCs w:val="21"/>
        </w:rPr>
        <w:t>签订时间:</w:t>
      </w:r>
    </w:p>
    <w:p w14:paraId="270692FD">
      <w:pPr>
        <w:pStyle w:val="7"/>
        <w:spacing w:line="360" w:lineRule="auto"/>
        <w:ind w:firstLine="420"/>
        <w:rPr>
          <w:rFonts w:hint="eastAsia" w:ascii="宋体" w:hAnsi="宋体"/>
          <w:sz w:val="21"/>
          <w:szCs w:val="21"/>
        </w:rPr>
      </w:pPr>
      <w:r>
        <w:rPr>
          <w:rFonts w:hint="eastAsia" w:ascii="宋体" w:hAnsi="宋体"/>
          <w:sz w:val="21"/>
          <w:szCs w:val="21"/>
        </w:rPr>
        <w:t>采购人（甲方）：</w:t>
      </w:r>
    </w:p>
    <w:p w14:paraId="64AEB384">
      <w:pPr>
        <w:pStyle w:val="7"/>
        <w:spacing w:line="360" w:lineRule="auto"/>
        <w:ind w:firstLine="420"/>
        <w:rPr>
          <w:rFonts w:hint="eastAsia" w:ascii="宋体" w:hAnsi="宋体"/>
          <w:sz w:val="21"/>
          <w:szCs w:val="21"/>
        </w:rPr>
      </w:pPr>
      <w:r>
        <w:rPr>
          <w:rFonts w:hint="eastAsia" w:ascii="宋体" w:hAnsi="宋体"/>
          <w:sz w:val="21"/>
          <w:szCs w:val="21"/>
        </w:rPr>
        <w:t>法定代表人：</w:t>
      </w:r>
    </w:p>
    <w:p w14:paraId="2BF3CC7A">
      <w:pPr>
        <w:pStyle w:val="7"/>
        <w:spacing w:line="360" w:lineRule="auto"/>
        <w:ind w:firstLine="420"/>
        <w:rPr>
          <w:rFonts w:hint="eastAsia" w:ascii="宋体" w:hAnsi="宋体"/>
          <w:sz w:val="21"/>
          <w:szCs w:val="21"/>
        </w:rPr>
      </w:pPr>
      <w:r>
        <w:rPr>
          <w:rFonts w:hint="eastAsia" w:ascii="宋体" w:hAnsi="宋体"/>
          <w:sz w:val="21"/>
          <w:szCs w:val="21"/>
        </w:rPr>
        <w:t>地址：</w:t>
      </w:r>
    </w:p>
    <w:p w14:paraId="7F15D7F6">
      <w:pPr>
        <w:pStyle w:val="7"/>
        <w:spacing w:line="360" w:lineRule="auto"/>
        <w:ind w:firstLine="420"/>
        <w:rPr>
          <w:rFonts w:hint="eastAsia" w:ascii="宋体" w:hAnsi="宋体"/>
          <w:sz w:val="21"/>
          <w:szCs w:val="21"/>
        </w:rPr>
      </w:pPr>
      <w:r>
        <w:rPr>
          <w:rFonts w:hint="eastAsia" w:ascii="宋体" w:hAnsi="宋体"/>
          <w:sz w:val="21"/>
          <w:szCs w:val="21"/>
        </w:rPr>
        <w:t>供应商（乙方）：</w:t>
      </w:r>
    </w:p>
    <w:p w14:paraId="6A3AAC24">
      <w:pPr>
        <w:pStyle w:val="7"/>
        <w:spacing w:line="360" w:lineRule="auto"/>
        <w:ind w:firstLine="420"/>
        <w:rPr>
          <w:rFonts w:hint="eastAsia" w:ascii="宋体" w:hAnsi="宋体"/>
          <w:sz w:val="21"/>
          <w:szCs w:val="21"/>
        </w:rPr>
      </w:pPr>
      <w:r>
        <w:rPr>
          <w:rFonts w:hint="eastAsia" w:ascii="宋体" w:hAnsi="宋体"/>
          <w:sz w:val="21"/>
          <w:szCs w:val="21"/>
        </w:rPr>
        <w:t>法定代表人：</w:t>
      </w:r>
    </w:p>
    <w:p w14:paraId="1BAB75D1">
      <w:pPr>
        <w:pStyle w:val="7"/>
        <w:spacing w:line="360" w:lineRule="auto"/>
        <w:ind w:firstLine="420"/>
        <w:rPr>
          <w:rFonts w:hint="eastAsia" w:ascii="宋体" w:hAnsi="宋体"/>
          <w:sz w:val="21"/>
          <w:szCs w:val="21"/>
        </w:rPr>
      </w:pPr>
      <w:r>
        <w:rPr>
          <w:rFonts w:hint="eastAsia" w:ascii="宋体" w:hAnsi="宋体"/>
          <w:sz w:val="21"/>
          <w:szCs w:val="21"/>
        </w:rPr>
        <w:t>地址：</w:t>
      </w:r>
    </w:p>
    <w:p w14:paraId="10401DF3">
      <w:pPr>
        <w:pStyle w:val="2"/>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根据《中华人民共和国政府采购法》及实施条例、《中华人民共和国民法典》和甲方              商洛广播电视台文旅宣传营销项目（采购项目编号：ZDSL25-138Z）的采购文件、响应文件等有关规定，为确保甲方采购项目的顺利实施，甲、乙双方在平等自愿原则下签订本合同，并共同遵守如下条款：</w:t>
      </w:r>
    </w:p>
    <w:p w14:paraId="48936FE9">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line="360" w:lineRule="auto"/>
        <w:ind w:left="1094" w:hanging="1094"/>
        <w:textAlignment w:val="auto"/>
        <w:rPr>
          <w:rFonts w:hint="eastAsia"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项目基本情况</w:t>
      </w:r>
    </w:p>
    <w:p w14:paraId="5D2BD7C3">
      <w:pPr>
        <w:pStyle w:val="2"/>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eastAsia" w:ascii="宋体" w:hAnsi="宋体"/>
          <w:b w:val="0"/>
          <w:szCs w:val="21"/>
        </w:rPr>
      </w:pPr>
      <w:r>
        <w:rPr>
          <w:rFonts w:hint="eastAsia" w:ascii="宋体" w:hAnsi="宋体" w:eastAsia="宋体" w:cs="Times New Roman"/>
          <w:b w:val="0"/>
          <w:bCs/>
          <w:kern w:val="2"/>
          <w:sz w:val="21"/>
          <w:szCs w:val="21"/>
          <w:lang w:val="en-US" w:eastAsia="zh-CN" w:bidi="ar-SA"/>
        </w:rPr>
        <w:t>为进一步提升商洛文旅品牌影响力，促进生态文化旅游产业高质量发展。围绕22℃商洛·中国康养之都发展目标，通过新媒体平台开展文旅宣传制作与推广，项目包括宣传片摄制、活动承办、新媒体平台运维三个方面的内容。</w:t>
      </w:r>
    </w:p>
    <w:p w14:paraId="5DFBFA90">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line="360" w:lineRule="auto"/>
        <w:ind w:left="1094" w:hanging="1094"/>
        <w:textAlignment w:val="auto"/>
        <w:rPr>
          <w:rFonts w:hint="eastAsia" w:ascii="宋体" w:hAnsi="宋体"/>
          <w:b/>
          <w:sz w:val="30"/>
          <w:szCs w:val="30"/>
          <w:lang w:val="en-US" w:eastAsia="zh-CN"/>
        </w:rPr>
      </w:pPr>
      <w:r>
        <w:rPr>
          <w:rFonts w:hint="eastAsia" w:ascii="宋体" w:hAnsi="宋体"/>
          <w:b/>
          <w:sz w:val="30"/>
          <w:szCs w:val="30"/>
          <w:lang w:val="en-US" w:eastAsia="zh-CN"/>
        </w:rPr>
        <w:t xml:space="preserve"> 合同期限</w:t>
      </w:r>
    </w:p>
    <w:p w14:paraId="52E70C4E">
      <w:pPr>
        <w:pStyle w:val="3"/>
        <w:spacing w:line="360" w:lineRule="auto"/>
        <w:rPr>
          <w:rFonts w:hint="eastAsia" w:ascii="宋体" w:hAnsi="宋体"/>
          <w:szCs w:val="21"/>
          <w:lang w:val="en-US" w:eastAsia="zh-CN"/>
        </w:rPr>
      </w:pPr>
      <w:bookmarkStart w:id="0" w:name="_Toc211911348"/>
      <w:bookmarkStart w:id="1" w:name="_Toc237145406"/>
      <w:bookmarkStart w:id="2" w:name="_Toc251768862"/>
      <w:bookmarkStart w:id="3" w:name="_Toc241833903"/>
      <w:bookmarkStart w:id="4" w:name="_Toc286993786"/>
      <w:bookmarkStart w:id="5" w:name="_Toc239568418"/>
      <w:bookmarkStart w:id="6" w:name="_Toc225654644"/>
      <w:bookmarkStart w:id="7" w:name="_Toc185395249"/>
      <w:bookmarkStart w:id="8" w:name="_Toc225244852"/>
      <w:bookmarkStart w:id="9" w:name="_Toc282696226"/>
      <w:bookmarkStart w:id="10" w:name="_Toc283019214"/>
      <w:bookmarkStart w:id="11" w:name="_Toc211854449"/>
      <w:bookmarkStart w:id="12" w:name="_Toc238984975"/>
      <w:bookmarkStart w:id="13" w:name="_Toc225670751"/>
      <w:bookmarkStart w:id="14" w:name="_Toc239233914"/>
      <w:bookmarkStart w:id="15" w:name="_Toc247334841"/>
      <w:bookmarkStart w:id="16" w:name="_Toc212019594"/>
      <w:bookmarkStart w:id="17" w:name="_Toc232492928"/>
      <w:r>
        <w:rPr>
          <w:rFonts w:hint="eastAsia" w:ascii="宋体" w:hAnsi="宋体"/>
          <w:szCs w:val="21"/>
          <w:lang w:val="en-US" w:eastAsia="zh-CN"/>
        </w:rPr>
        <w:t>服务期限：12个月</w:t>
      </w:r>
    </w:p>
    <w:p w14:paraId="2523F0AF">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line="360" w:lineRule="auto"/>
        <w:ind w:left="1094" w:hanging="1094"/>
        <w:textAlignment w:val="auto"/>
        <w:rPr>
          <w:rFonts w:hint="eastAsia" w:ascii="宋体" w:hAnsi="宋体"/>
          <w:b/>
          <w:sz w:val="30"/>
          <w:szCs w:val="30"/>
          <w:lang w:val="en-US" w:eastAsia="zh-CN"/>
        </w:rPr>
      </w:pPr>
      <w:r>
        <w:rPr>
          <w:rFonts w:hint="eastAsia" w:ascii="宋体" w:hAnsi="宋体"/>
          <w:b/>
          <w:sz w:val="30"/>
          <w:szCs w:val="30"/>
          <w:lang w:val="en-US" w:eastAsia="zh-CN"/>
        </w:rPr>
        <w:t>服务内容</w:t>
      </w:r>
    </w:p>
    <w:p w14:paraId="705A5A5E">
      <w:pPr>
        <w:pStyle w:val="2"/>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服务内容：为进一步提升商洛文旅品牌影响力，促进生态文化旅游产业高质量发展。围绕22℃商洛·中国康养之都发展目标，通过新媒体平台开展文旅宣传制作与推广，项目包括宣传片摄制、活动承办、新媒体平台运维三个方面的内容。</w:t>
      </w:r>
    </w:p>
    <w:p w14:paraId="73319894">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textAlignment w:val="auto"/>
        <w:rPr>
          <w:rFonts w:hint="eastAsia" w:ascii="宋体" w:hAnsi="宋体"/>
          <w:b/>
          <w:sz w:val="30"/>
          <w:szCs w:val="30"/>
          <w:lang w:val="en-US" w:eastAsia="zh-CN"/>
        </w:rPr>
      </w:pPr>
      <w:r>
        <w:rPr>
          <w:rFonts w:hint="eastAsia" w:ascii="宋体" w:hAnsi="宋体"/>
          <w:b/>
          <w:sz w:val="30"/>
          <w:szCs w:val="30"/>
          <w:lang w:val="en-US" w:eastAsia="zh-CN"/>
        </w:rPr>
        <w:t>第四条 服务费用</w:t>
      </w:r>
    </w:p>
    <w:p w14:paraId="4B8BAD4C">
      <w:pPr>
        <w:pStyle w:val="2"/>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5403A6C8">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00E0547A">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3AEE0823">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65E4AC2B">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043543D">
      <w:pPr>
        <w:spacing w:line="360" w:lineRule="auto"/>
        <w:ind w:firstLine="525" w:firstLineChars="250"/>
        <w:rPr>
          <w:rFonts w:hint="eastAsia" w:ascii="宋体" w:hAnsi="宋体"/>
          <w:szCs w:val="21"/>
        </w:rPr>
      </w:pPr>
      <w:r>
        <w:rPr>
          <w:rFonts w:ascii="宋体" w:hAnsi="宋体"/>
          <w:szCs w:val="21"/>
        </w:rPr>
        <w:t>……</w:t>
      </w:r>
    </w:p>
    <w:p w14:paraId="3B7BEB3A">
      <w:pPr>
        <w:spacing w:line="360" w:lineRule="auto"/>
        <w:ind w:firstLine="525" w:firstLineChars="250"/>
        <w:rPr>
          <w:rFonts w:hint="eastAsia" w:ascii="宋体" w:hAnsi="宋体"/>
          <w:b/>
          <w:sz w:val="30"/>
          <w:szCs w:val="30"/>
        </w:rPr>
      </w:pPr>
      <w:r>
        <w:rPr>
          <w:rFonts w:hint="eastAsia" w:ascii="宋体" w:hAnsi="宋体"/>
          <w:szCs w:val="21"/>
        </w:rPr>
        <w:t>4.本合同执行期间服务总费用不变，甲方无须另向乙方支付本合同规定之外的其他任何费用。</w:t>
      </w:r>
    </w:p>
    <w:p w14:paraId="0DFE9508">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第五条  服务费支付方式</w:t>
      </w:r>
    </w:p>
    <w:p w14:paraId="0C6D31CA">
      <w:pPr>
        <w:spacing w:line="360" w:lineRule="auto"/>
        <w:ind w:firstLine="525" w:firstLineChars="250"/>
        <w:rPr>
          <w:rFonts w:hint="eastAsia" w:ascii="宋体" w:hAnsi="宋体"/>
          <w:szCs w:val="21"/>
        </w:rPr>
      </w:pPr>
      <w:r>
        <w:rPr>
          <w:rFonts w:hint="eastAsia" w:ascii="宋体" w:hAnsi="宋体"/>
          <w:szCs w:val="21"/>
        </w:rPr>
        <w:t>1、合同签订后</w:t>
      </w:r>
      <w:r>
        <w:rPr>
          <w:rFonts w:hint="eastAsia" w:ascii="宋体" w:hAnsi="宋体"/>
          <w:szCs w:val="21"/>
          <w:lang w:eastAsia="zh-CN"/>
        </w:rPr>
        <w:t>，</w:t>
      </w:r>
      <w:r>
        <w:rPr>
          <w:rFonts w:hint="eastAsia" w:ascii="宋体" w:hAnsi="宋体"/>
          <w:szCs w:val="21"/>
        </w:rPr>
        <w:t>达到付款条件起</w:t>
      </w:r>
      <w:r>
        <w:rPr>
          <w:rFonts w:hint="eastAsia" w:ascii="宋体" w:hAnsi="宋体"/>
          <w:szCs w:val="21"/>
          <w:lang w:val="en-US" w:eastAsia="zh-CN"/>
        </w:rPr>
        <w:t>7</w:t>
      </w:r>
      <w:r>
        <w:rPr>
          <w:rFonts w:hint="eastAsia" w:ascii="宋体" w:hAnsi="宋体"/>
          <w:szCs w:val="21"/>
        </w:rPr>
        <w:t>日内，支付合同总金额的60.00%。</w:t>
      </w:r>
    </w:p>
    <w:p w14:paraId="4BD61841">
      <w:pPr>
        <w:spacing w:line="360" w:lineRule="auto"/>
        <w:ind w:firstLine="525" w:firstLineChars="250"/>
        <w:rPr>
          <w:rFonts w:hint="eastAsia" w:ascii="宋体" w:hAnsi="宋体"/>
          <w:szCs w:val="21"/>
        </w:rPr>
      </w:pPr>
      <w:r>
        <w:rPr>
          <w:rFonts w:hint="eastAsia" w:ascii="宋体" w:hAnsi="宋体"/>
          <w:szCs w:val="21"/>
        </w:rPr>
        <w:t>2、履约数量指标达到90%</w:t>
      </w:r>
      <w:r>
        <w:rPr>
          <w:rFonts w:hint="eastAsia" w:ascii="宋体" w:hAnsi="宋体"/>
          <w:szCs w:val="21"/>
          <w:lang w:eastAsia="zh-CN"/>
        </w:rPr>
        <w:t>，</w:t>
      </w:r>
      <w:r>
        <w:rPr>
          <w:rFonts w:hint="eastAsia" w:ascii="宋体" w:hAnsi="宋体"/>
          <w:szCs w:val="21"/>
        </w:rPr>
        <w:t>达到付款条件起</w:t>
      </w:r>
      <w:r>
        <w:rPr>
          <w:rFonts w:hint="eastAsia" w:ascii="宋体" w:hAnsi="宋体"/>
          <w:szCs w:val="21"/>
          <w:lang w:val="en-US" w:eastAsia="zh-CN"/>
        </w:rPr>
        <w:t>7</w:t>
      </w:r>
      <w:r>
        <w:rPr>
          <w:rFonts w:hint="eastAsia" w:ascii="宋体" w:hAnsi="宋体"/>
          <w:szCs w:val="21"/>
        </w:rPr>
        <w:t>日内</w:t>
      </w:r>
      <w:r>
        <w:rPr>
          <w:rFonts w:hint="eastAsia" w:ascii="宋体" w:hAnsi="宋体"/>
          <w:szCs w:val="21"/>
          <w:lang w:eastAsia="zh-CN"/>
        </w:rPr>
        <w:t>，</w:t>
      </w:r>
      <w:r>
        <w:rPr>
          <w:rFonts w:hint="eastAsia" w:ascii="宋体" w:hAnsi="宋体"/>
          <w:szCs w:val="21"/>
        </w:rPr>
        <w:t>支付合同总金额的35.00%。</w:t>
      </w:r>
    </w:p>
    <w:p w14:paraId="06D7DB7B">
      <w:pPr>
        <w:spacing w:line="360" w:lineRule="auto"/>
        <w:ind w:firstLine="525" w:firstLineChars="250"/>
        <w:rPr>
          <w:rFonts w:hint="eastAsia" w:ascii="宋体" w:hAnsi="宋体"/>
          <w:szCs w:val="21"/>
        </w:rPr>
      </w:pPr>
      <w:r>
        <w:rPr>
          <w:rFonts w:hint="eastAsia" w:ascii="宋体" w:hAnsi="宋体"/>
          <w:szCs w:val="21"/>
        </w:rPr>
        <w:t>3、项目完成</w:t>
      </w:r>
      <w:r>
        <w:rPr>
          <w:rFonts w:hint="eastAsia" w:ascii="宋体" w:hAnsi="宋体"/>
          <w:szCs w:val="21"/>
          <w:lang w:eastAsia="zh-CN"/>
        </w:rPr>
        <w:t>，</w:t>
      </w:r>
      <w:r>
        <w:rPr>
          <w:rFonts w:hint="eastAsia" w:ascii="宋体" w:hAnsi="宋体"/>
          <w:szCs w:val="21"/>
        </w:rPr>
        <w:t>验收合格</w:t>
      </w:r>
      <w:r>
        <w:rPr>
          <w:rFonts w:hint="eastAsia" w:ascii="宋体" w:hAnsi="宋体"/>
          <w:szCs w:val="21"/>
          <w:lang w:eastAsia="zh-CN"/>
        </w:rPr>
        <w:t>，</w:t>
      </w:r>
      <w:r>
        <w:rPr>
          <w:rFonts w:hint="eastAsia" w:ascii="宋体" w:hAnsi="宋体"/>
          <w:szCs w:val="21"/>
        </w:rPr>
        <w:t>达到付款条件起</w:t>
      </w:r>
      <w:r>
        <w:rPr>
          <w:rFonts w:hint="eastAsia" w:ascii="宋体" w:hAnsi="宋体"/>
          <w:szCs w:val="21"/>
          <w:lang w:val="en-US" w:eastAsia="zh-CN"/>
        </w:rPr>
        <w:t>7</w:t>
      </w:r>
      <w:r>
        <w:rPr>
          <w:rFonts w:hint="eastAsia" w:ascii="宋体" w:hAnsi="宋体"/>
          <w:szCs w:val="21"/>
        </w:rPr>
        <w:t>日内</w:t>
      </w:r>
      <w:r>
        <w:rPr>
          <w:rFonts w:hint="eastAsia" w:ascii="宋体" w:hAnsi="宋体"/>
          <w:szCs w:val="21"/>
          <w:lang w:eastAsia="zh-CN"/>
        </w:rPr>
        <w:t>，</w:t>
      </w:r>
      <w:r>
        <w:rPr>
          <w:rFonts w:hint="eastAsia" w:ascii="宋体" w:hAnsi="宋体"/>
          <w:szCs w:val="21"/>
        </w:rPr>
        <w:t>支付合同总金额的5.00%。</w:t>
      </w:r>
    </w:p>
    <w:p w14:paraId="3360EE6A">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第六条   知识产权</w:t>
      </w:r>
    </w:p>
    <w:p w14:paraId="27CF88D8">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45A0675B">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第七条  无产权瑕疵条款</w:t>
      </w:r>
    </w:p>
    <w:p w14:paraId="2801DD63">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乙方保证所提供的服务（成果）权属清晰、完整（不存在抵押、查封、扣押等），且不存在侵犯任何第三方的合法权益。如有违反视为乙方违约。乙方应负担由此而产生的一切损失。</w:t>
      </w:r>
    </w:p>
    <w:p w14:paraId="1634AE72">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第八条   履约保证金</w:t>
      </w:r>
    </w:p>
    <w:p w14:paraId="7F0D7F49">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5B58CCD0">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4120E9C9">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3EAA10D0">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4079F484">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601B0DC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第九条  甲方的权利和义务</w:t>
      </w:r>
    </w:p>
    <w:p w14:paraId="7E15D4D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5C598EE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1EF6C7A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6BE7C95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56CCBD7C">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5FA39E6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第十条  乙方的权利和义务</w:t>
      </w:r>
    </w:p>
    <w:p w14:paraId="636255E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14509137">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2E25DFC5">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3AD7EDB0">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41DA0239">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7BBB7E17">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第十一条  违约责任</w:t>
      </w:r>
    </w:p>
    <w:p w14:paraId="14CDA0B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29DB05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51EA17F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第十二条  不可抗力事件处理</w:t>
      </w:r>
    </w:p>
    <w:p w14:paraId="2523494A">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6A4DA253">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650909AE">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118431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bookmarkStart w:id="18" w:name="_Toc237145411"/>
      <w:bookmarkStart w:id="19" w:name="_Toc211911353"/>
      <w:bookmarkStart w:id="20" w:name="_Toc185395254"/>
      <w:bookmarkStart w:id="21" w:name="_Toc239233919"/>
      <w:bookmarkStart w:id="22" w:name="_Toc225654649"/>
      <w:bookmarkStart w:id="23" w:name="_Toc232492933"/>
      <w:bookmarkStart w:id="24" w:name="_Toc251768867"/>
      <w:bookmarkStart w:id="25" w:name="_Toc211854454"/>
      <w:bookmarkStart w:id="26" w:name="_Toc225670756"/>
      <w:bookmarkStart w:id="27" w:name="_Toc239568423"/>
      <w:bookmarkStart w:id="28" w:name="_Toc241833908"/>
      <w:bookmarkStart w:id="29" w:name="_Toc238984980"/>
      <w:bookmarkStart w:id="30" w:name="_Toc247334846"/>
      <w:bookmarkStart w:id="31" w:name="_Toc212019599"/>
      <w:bookmarkStart w:id="32" w:name="_Toc225244857"/>
      <w:bookmarkStart w:id="33" w:name="_Toc286993792"/>
      <w:r>
        <w:rPr>
          <w:rFonts w:hint="eastAsia" w:ascii="宋体" w:hAnsi="宋体"/>
          <w:b/>
          <w:sz w:val="30"/>
          <w:szCs w:val="30"/>
          <w:lang w:val="en-US" w:eastAsia="zh-CN"/>
        </w:rPr>
        <w:t>第十三条  合同的变更和终止</w:t>
      </w:r>
    </w:p>
    <w:p w14:paraId="4E440A54">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7F2902F9">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第十四条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FEE332B">
      <w:pPr>
        <w:pStyle w:val="7"/>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lang w:eastAsia="zh-CN"/>
        </w:rPr>
        <w:t>（</w:t>
      </w:r>
      <w:r>
        <w:rPr>
          <w:rFonts w:hint="eastAsia" w:ascii="宋体" w:hAnsi="宋体"/>
          <w:kern w:val="0"/>
          <w:sz w:val="21"/>
          <w:szCs w:val="21"/>
          <w:lang w:val="en-US" w:eastAsia="zh-CN"/>
        </w:rPr>
        <w:t>1</w:t>
      </w:r>
      <w:r>
        <w:rPr>
          <w:rFonts w:hint="eastAsia" w:ascii="宋体" w:hAnsi="宋体"/>
          <w:kern w:val="0"/>
          <w:sz w:val="21"/>
          <w:szCs w:val="21"/>
          <w:lang w:eastAsia="zh-CN"/>
        </w:rPr>
        <w:t>）</w:t>
      </w:r>
      <w:r>
        <w:rPr>
          <w:rFonts w:hint="eastAsia" w:ascii="宋体" w:hAnsi="宋体"/>
          <w:kern w:val="0"/>
          <w:sz w:val="21"/>
          <w:szCs w:val="21"/>
        </w:rPr>
        <w:t>种方式解决争议：</w:t>
      </w:r>
    </w:p>
    <w:p w14:paraId="616C6196">
      <w:pPr>
        <w:pStyle w:val="7"/>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0FD75CD1">
      <w:pPr>
        <w:pStyle w:val="7"/>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lang w:eastAsia="zh-CN"/>
        </w:rPr>
        <w:t>商洛市</w:t>
      </w:r>
      <w:r>
        <w:rPr>
          <w:rFonts w:hint="eastAsia" w:ascii="宋体" w:hAnsi="宋体"/>
          <w:kern w:val="0"/>
          <w:sz w:val="21"/>
          <w:szCs w:val="21"/>
        </w:rPr>
        <w:t>仲裁委员会按其仲裁规则申请仲裁。</w:t>
      </w:r>
    </w:p>
    <w:p w14:paraId="510D491B">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70C7047F">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bookmarkStart w:id="34" w:name="_Toc237145412"/>
      <w:bookmarkStart w:id="35" w:name="_Toc247334847"/>
      <w:bookmarkStart w:id="36" w:name="_Toc225654650"/>
      <w:bookmarkStart w:id="37" w:name="_Toc211854455"/>
      <w:bookmarkStart w:id="38" w:name="_Toc283019219"/>
      <w:bookmarkStart w:id="39" w:name="_Toc251768868"/>
      <w:bookmarkStart w:id="40" w:name="_Toc212019600"/>
      <w:bookmarkStart w:id="41" w:name="_Toc239568424"/>
      <w:bookmarkStart w:id="42" w:name="_Toc282696231"/>
      <w:bookmarkStart w:id="43" w:name="_Toc211911354"/>
      <w:bookmarkStart w:id="44" w:name="_Toc185395255"/>
      <w:bookmarkStart w:id="45" w:name="_Toc225244858"/>
      <w:bookmarkStart w:id="46" w:name="_Toc239233920"/>
      <w:bookmarkStart w:id="47" w:name="_Toc286993793"/>
      <w:bookmarkStart w:id="48" w:name="_Toc238984981"/>
      <w:bookmarkStart w:id="49" w:name="_Toc225670757"/>
      <w:bookmarkStart w:id="50" w:name="_Toc232492934"/>
      <w:bookmarkStart w:id="51" w:name="_Toc241833909"/>
      <w:r>
        <w:rPr>
          <w:rFonts w:hint="eastAsia" w:ascii="宋体" w:hAnsi="宋体"/>
          <w:b/>
          <w:sz w:val="30"/>
          <w:szCs w:val="30"/>
          <w:lang w:val="en-US" w:eastAsia="zh-CN"/>
        </w:rPr>
        <w:t>第十五条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lang w:val="en-US" w:eastAsia="zh-CN"/>
        </w:rPr>
        <w:t>生效及其他</w:t>
      </w:r>
    </w:p>
    <w:p w14:paraId="26609037">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7CE104FB">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7A7A12D8">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FF365E1">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第十六条  附件</w:t>
      </w:r>
    </w:p>
    <w:p w14:paraId="67B1C7CA">
      <w:pPr>
        <w:pStyle w:val="9"/>
        <w:spacing w:line="360" w:lineRule="auto"/>
        <w:rPr>
          <w:rFonts w:hint="eastAsia" w:ascii="宋体" w:hAnsi="宋体"/>
          <w:sz w:val="21"/>
          <w:szCs w:val="21"/>
        </w:rPr>
      </w:pPr>
      <w:r>
        <w:rPr>
          <w:rFonts w:hint="eastAsia" w:ascii="宋体" w:hAnsi="宋体"/>
          <w:sz w:val="21"/>
          <w:szCs w:val="21"/>
        </w:rPr>
        <w:t>1.项目</w:t>
      </w:r>
      <w:r>
        <w:rPr>
          <w:rFonts w:hint="eastAsia" w:ascii="宋体" w:hAnsi="宋体"/>
          <w:sz w:val="21"/>
          <w:szCs w:val="21"/>
          <w:lang w:eastAsia="zh-CN"/>
        </w:rPr>
        <w:t>采购</w:t>
      </w:r>
      <w:r>
        <w:rPr>
          <w:rFonts w:hint="eastAsia" w:ascii="宋体" w:hAnsi="宋体"/>
          <w:sz w:val="21"/>
          <w:szCs w:val="21"/>
        </w:rPr>
        <w:t>文件</w:t>
      </w:r>
    </w:p>
    <w:p w14:paraId="0406EC69">
      <w:pPr>
        <w:pStyle w:val="9"/>
        <w:spacing w:line="360" w:lineRule="auto"/>
        <w:rPr>
          <w:rFonts w:hint="eastAsia" w:ascii="宋体" w:hAnsi="宋体"/>
          <w:sz w:val="21"/>
          <w:szCs w:val="21"/>
        </w:rPr>
      </w:pPr>
      <w:r>
        <w:rPr>
          <w:rFonts w:hint="eastAsia" w:ascii="宋体" w:hAnsi="宋体"/>
          <w:sz w:val="21"/>
          <w:szCs w:val="21"/>
        </w:rPr>
        <w:t>2.项目修改澄清文件</w:t>
      </w:r>
    </w:p>
    <w:p w14:paraId="1101FDCB">
      <w:pPr>
        <w:pStyle w:val="9"/>
        <w:spacing w:line="360" w:lineRule="auto"/>
        <w:rPr>
          <w:rFonts w:hint="eastAsia" w:ascii="宋体" w:hAnsi="宋体"/>
          <w:sz w:val="21"/>
          <w:szCs w:val="21"/>
        </w:rPr>
      </w:pPr>
      <w:r>
        <w:rPr>
          <w:rFonts w:hint="eastAsia" w:ascii="宋体" w:hAnsi="宋体"/>
          <w:sz w:val="21"/>
          <w:szCs w:val="21"/>
        </w:rPr>
        <w:t>3.项目</w:t>
      </w:r>
      <w:r>
        <w:rPr>
          <w:rFonts w:hint="eastAsia" w:ascii="宋体" w:hAnsi="宋体"/>
          <w:sz w:val="21"/>
          <w:szCs w:val="21"/>
          <w:lang w:eastAsia="zh-CN"/>
        </w:rPr>
        <w:t>响应</w:t>
      </w:r>
      <w:r>
        <w:rPr>
          <w:rFonts w:hint="eastAsia" w:ascii="宋体" w:hAnsi="宋体"/>
          <w:sz w:val="21"/>
          <w:szCs w:val="21"/>
        </w:rPr>
        <w:t>文件</w:t>
      </w:r>
    </w:p>
    <w:p w14:paraId="10CA0CA1">
      <w:pPr>
        <w:pStyle w:val="9"/>
        <w:spacing w:line="360" w:lineRule="auto"/>
        <w:rPr>
          <w:rFonts w:hint="eastAsia" w:ascii="宋体" w:hAnsi="宋体"/>
          <w:sz w:val="21"/>
          <w:szCs w:val="21"/>
        </w:rPr>
      </w:pPr>
      <w:r>
        <w:rPr>
          <w:rFonts w:hint="eastAsia" w:ascii="宋体" w:hAnsi="宋体"/>
          <w:sz w:val="21"/>
          <w:szCs w:val="21"/>
        </w:rPr>
        <w:t>4.</w:t>
      </w:r>
      <w:r>
        <w:rPr>
          <w:rFonts w:hint="eastAsia" w:ascii="宋体" w:hAnsi="宋体"/>
          <w:sz w:val="21"/>
          <w:szCs w:val="21"/>
          <w:lang w:eastAsia="zh-CN"/>
        </w:rPr>
        <w:t>成交</w:t>
      </w:r>
      <w:r>
        <w:rPr>
          <w:rFonts w:hint="eastAsia" w:ascii="宋体" w:hAnsi="宋体"/>
          <w:sz w:val="21"/>
          <w:szCs w:val="21"/>
        </w:rPr>
        <w:t>通知书</w:t>
      </w:r>
    </w:p>
    <w:p w14:paraId="08D22A97">
      <w:pPr>
        <w:pStyle w:val="9"/>
        <w:spacing w:line="360" w:lineRule="auto"/>
        <w:rPr>
          <w:rFonts w:hint="eastAsia" w:ascii="宋体" w:hAnsi="宋体"/>
          <w:sz w:val="21"/>
          <w:szCs w:val="21"/>
        </w:rPr>
      </w:pPr>
      <w:r>
        <w:rPr>
          <w:rFonts w:hint="eastAsia" w:ascii="宋体" w:hAnsi="宋体"/>
          <w:sz w:val="21"/>
          <w:szCs w:val="21"/>
        </w:rPr>
        <w:t>5.其他</w:t>
      </w:r>
    </w:p>
    <w:p w14:paraId="60650385">
      <w:pPr>
        <w:spacing w:line="360" w:lineRule="auto"/>
        <w:rPr>
          <w:rFonts w:hint="eastAsia" w:ascii="宋体" w:hAnsi="宋体"/>
          <w:szCs w:val="21"/>
        </w:rPr>
      </w:pPr>
    </w:p>
    <w:p w14:paraId="161F0122">
      <w:pPr>
        <w:ind w:firstLine="420" w:firstLineChars="200"/>
        <w:jc w:val="left"/>
        <w:rPr>
          <w:rFonts w:hint="eastAsia" w:ascii="宋体" w:hAnsi="宋体" w:eastAsia="宋体" w:cs="宋体"/>
          <w:sz w:val="21"/>
          <w:szCs w:val="21"/>
        </w:rPr>
      </w:pPr>
      <w:r>
        <w:rPr>
          <w:rFonts w:hint="eastAsia" w:ascii="宋体" w:hAnsi="宋体" w:eastAsia="宋体" w:cs="宋体"/>
          <w:sz w:val="21"/>
          <w:szCs w:val="21"/>
        </w:rPr>
        <w:t>甲方（盖章）：</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乙方（盖章）：                      </w:t>
      </w:r>
    </w:p>
    <w:p w14:paraId="00CC59FD">
      <w:pPr>
        <w:spacing w:line="58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 xml:space="preserve">授权代表（签字）：               授权代表(签字)：            </w:t>
      </w:r>
    </w:p>
    <w:p w14:paraId="30B63109">
      <w:pPr>
        <w:spacing w:line="360" w:lineRule="auto"/>
        <w:ind w:firstLine="420" w:firstLineChars="200"/>
        <w:rPr>
          <w:rFonts w:hint="eastAsia" w:ascii="宋体" w:hAnsi="宋体" w:eastAsia="宋体" w:cs="宋体"/>
          <w:sz w:val="21"/>
          <w:szCs w:val="21"/>
        </w:rPr>
      </w:pPr>
      <w:bookmarkStart w:id="52" w:name="_GoBack"/>
      <w:bookmarkEnd w:id="52"/>
      <w:r>
        <w:rPr>
          <w:rFonts w:hint="eastAsia" w:ascii="宋体" w:hAnsi="宋体" w:eastAsia="宋体" w:cs="宋体"/>
          <w:sz w:val="21"/>
          <w:szCs w:val="21"/>
        </w:rPr>
        <w:t>时间：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           时间：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w:t>
      </w:r>
    </w:p>
    <w:p w14:paraId="0ABC6380"/>
    <w:p w14:paraId="48448C8D"/>
    <w:p w14:paraId="65E14C60">
      <w:r>
        <w:rPr>
          <w:rFonts w:hint="eastAsia" w:ascii="仿宋" w:hAnsi="仿宋" w:eastAsia="仿宋" w:cs="仿宋"/>
          <w:b/>
          <w:bCs/>
          <w:color w:val="auto"/>
          <w:sz w:val="21"/>
          <w:szCs w:val="21"/>
          <w:lang w:val="en-US" w:eastAsia="zh-CN"/>
        </w:rPr>
        <w:t>说明：本合同文本仅供参考，具体合同条款由甲乙双方在签署合同时，根据项目实际需要另行协商确定，以双方最终签署的合同为准。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42F71"/>
    <w:rsid w:val="27782269"/>
    <w:rsid w:val="499746B5"/>
    <w:rsid w:val="50624219"/>
    <w:rsid w:val="67173DCC"/>
    <w:rsid w:val="6E83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2256</Words>
  <Characters>2323</Characters>
  <Lines>0</Lines>
  <Paragraphs>0</Paragraphs>
  <TotalTime>1</TotalTime>
  <ScaleCrop>false</ScaleCrop>
  <LinksUpToDate>false</LinksUpToDate>
  <CharactersWithSpaces>2523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2025-11-12T07:10:00Z</dcterms:created>
  <dc:creator>Administrator</dc:creator>
  <cp:lastModifiedBy>WPS_1719069850</cp:lastModifiedBy>
  <dcterms:modified xsi:type="dcterms:W3CDTF">2025-12-17T08:44:59Z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eyJoZGlkIjoiY2JjMTAxOTlhZmJiNWFkYTIzNjZjNTlhZGRkZTQ0MjkiLCJ1c2VySWQiOiIxNjA5ODU3OTEwIn0=</vt:lpwstr>
  </property>
  <property fmtid="{D5CDD505-2E9C-101B-9397-08002B2CF9AE}" pid="4" name="ICV">
    <vt:lpwstr>0B83E130CAA943E7B53E63EB676262D4_12</vt:lpwstr>
  </property>
</Properties>
</file>