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版本号：ZTGX-2025-037.1B120251219001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移动警务通信信息化服务项目(二次)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ZTGX-2025-037.1B1</w:t>
      </w:r>
      <w:r>
        <w:br/>
      </w:r>
      <w:r>
        <w:br/>
      </w:r>
      <w:r>
        <w:br/>
      </w:r>
    </w:p>
    <w:p>
      <w:pPr>
        <w:pStyle w:val="null3"/>
        <w:jc w:val="center"/>
        <w:outlineLvl w:val="2"/>
      </w:pPr>
      <w:r>
        <w:rPr>
          <w:rFonts w:ascii="仿宋_GB2312" w:hAnsi="仿宋_GB2312" w:cs="仿宋_GB2312" w:eastAsia="仿宋_GB2312"/>
          <w:sz w:val="28"/>
          <w:b/>
        </w:rPr>
        <w:t>商洛市公安局商丹循环工业经济园区分局</w:t>
      </w:r>
    </w:p>
    <w:p>
      <w:pPr>
        <w:pStyle w:val="null3"/>
        <w:jc w:val="center"/>
        <w:outlineLvl w:val="2"/>
      </w:pPr>
      <w:r>
        <w:rPr>
          <w:rFonts w:ascii="仿宋_GB2312" w:hAnsi="仿宋_GB2312" w:cs="仿宋_GB2312" w:eastAsia="仿宋_GB2312"/>
          <w:sz w:val="28"/>
          <w:b/>
        </w:rPr>
        <w:t>陕西中天国信项目管理有限公司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陕西中天国信项目管理有限公司</w:t>
      </w:r>
      <w:r>
        <w:rPr>
          <w:rFonts w:ascii="仿宋_GB2312" w:hAnsi="仿宋_GB2312" w:cs="仿宋_GB2312" w:eastAsia="仿宋_GB2312"/>
        </w:rPr>
        <w:t>（以下简称“代理机构”）受</w:t>
      </w:r>
      <w:r>
        <w:rPr>
          <w:rFonts w:ascii="仿宋_GB2312" w:hAnsi="仿宋_GB2312" w:cs="仿宋_GB2312" w:eastAsia="仿宋_GB2312"/>
        </w:rPr>
        <w:t>商洛市公安局商丹循环工业经济园区分局</w:t>
      </w:r>
      <w:r>
        <w:rPr>
          <w:rFonts w:ascii="仿宋_GB2312" w:hAnsi="仿宋_GB2312" w:cs="仿宋_GB2312" w:eastAsia="仿宋_GB2312"/>
        </w:rPr>
        <w:t>委托，拟对</w:t>
      </w:r>
      <w:r>
        <w:rPr>
          <w:rFonts w:ascii="仿宋_GB2312" w:hAnsi="仿宋_GB2312" w:cs="仿宋_GB2312" w:eastAsia="仿宋_GB2312"/>
        </w:rPr>
        <w:t>移动警务通信信息化服务项目(二次)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ZTGX-2025-037.1B1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移动警务通信信息化服务项目(二次)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移动警务通信信息化服务项目,为满足商洛市公安局高新分局民警开展移动办公、移动执法、即时通信、指挥调度等场景提供丰富的移动警务应用，主要提供由基础通信服务、系统安全服务、移动警务服务、系统对接服务等几部分组成的技术支撑和保障服务；项目预算金额为：380000.00元，服务期限：2年。</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合法有效：主体资格合法有效：供应商须在中华人民共和国境内注册，依法取得并有效存续的营业执照（或事业单位法人证书/民办非企业单位登记证书/非企业专业服务机构执业许可证等主体资格证书）。供应商须在项目电子化采购系统中提交主体资格证书（根据企业类型、性质选择其一）原件的扫描件，并完成电子签章。</w:t>
      </w:r>
    </w:p>
    <w:p>
      <w:pPr>
        <w:pStyle w:val="null3"/>
      </w:pPr>
      <w:r>
        <w:rPr>
          <w:rFonts w:ascii="仿宋_GB2312" w:hAnsi="仿宋_GB2312" w:cs="仿宋_GB2312" w:eastAsia="仿宋_GB2312"/>
        </w:rPr>
        <w:t>2、具有良好的财务状况：具有良好的财务状况：：供应商须具有良好的财务状况，并须在项目电子化交易系统中提交具有良好财务状况的承诺函，且承诺财务状况良好，并完成电子签章。</w:t>
      </w:r>
    </w:p>
    <w:p>
      <w:pPr>
        <w:pStyle w:val="null3"/>
      </w:pPr>
      <w:r>
        <w:rPr>
          <w:rFonts w:ascii="仿宋_GB2312" w:hAnsi="仿宋_GB2312" w:cs="仿宋_GB2312" w:eastAsia="仿宋_GB2312"/>
        </w:rPr>
        <w:t>3、具有良好的税收缴纳记录：具有良好的税收缴纳记录：供应商须具有良好的税收缴纳记录，并须在项目电子化交易系统中提交具有良好税收缴纳记录的承诺函，且承诺税收缴纳记录良好，并完成电子签章。</w:t>
      </w:r>
    </w:p>
    <w:p>
      <w:pPr>
        <w:pStyle w:val="null3"/>
      </w:pPr>
      <w:r>
        <w:rPr>
          <w:rFonts w:ascii="仿宋_GB2312" w:hAnsi="仿宋_GB2312" w:cs="仿宋_GB2312" w:eastAsia="仿宋_GB2312"/>
        </w:rPr>
        <w:t>4、具有良好的社会保障资金缴纳记录：具有良好的社会保障资金缴纳记录：供应商须具有良好的社会保障资金缴纳记录，并须在项目电子化交易系统中提交具有良好的社会保障资金缴纳记录的承诺函，且承诺社会保障资金缴纳记录良好，并完成电子签章。</w:t>
      </w:r>
    </w:p>
    <w:p>
      <w:pPr>
        <w:pStyle w:val="null3"/>
      </w:pPr>
      <w:r>
        <w:rPr>
          <w:rFonts w:ascii="仿宋_GB2312" w:hAnsi="仿宋_GB2312" w:cs="仿宋_GB2312" w:eastAsia="仿宋_GB2312"/>
        </w:rPr>
        <w:t>5、近三年内在经营活动中无重大违法记录：近三年内在经营活动中无重大违法记录：供应商近三年内在经营活动中须无重大违法记录，并须在项目电子化交易系统中提交近三年内在经营活动中无重大违法记录声明函，且近三年内在经营活动中无重大违法记录，并完成电子签章。</w:t>
      </w:r>
    </w:p>
    <w:p>
      <w:pPr>
        <w:pStyle w:val="null3"/>
      </w:pPr>
      <w:r>
        <w:rPr>
          <w:rFonts w:ascii="仿宋_GB2312" w:hAnsi="仿宋_GB2312" w:cs="仿宋_GB2312" w:eastAsia="仿宋_GB2312"/>
        </w:rPr>
        <w:t>6、法定代表人（负责人）授权书合法有效：法定代表人（负责人）授权书合法有效：供应商法定代表人(负责人)授权书合法有效，法定代表人（负责人）直接参加投标的须提供本人身份证、法定代表人(负责人)身份证明书，法定代表人(负责人)授权代表参加投标的须提供法定代表人(负责人)授权书、被授权人身份证。供应商须在项目电子化交易系统中提交法定代表人(负责人)身份证、法定代表人(负责人)身份证明书或法定代表人(负责人)授权书、被授权人身份证原件的扫描件，并完成电子签章</w:t>
      </w:r>
    </w:p>
    <w:p>
      <w:pPr>
        <w:pStyle w:val="null3"/>
      </w:pPr>
      <w:r>
        <w:rPr>
          <w:rFonts w:ascii="仿宋_GB2312" w:hAnsi="仿宋_GB2312" w:cs="仿宋_GB2312" w:eastAsia="仿宋_GB2312"/>
        </w:rPr>
        <w:t>7、单位负责人为同一人或者存在直接控股、管理关系的不同供应商，不得同时参加本项目同一合同项下政府采购活动：单位负责人为同一人或者存在直接控股、管理关系的不同供应商，不得同时参加本项目同一合同项下政府采购活动：单位负责人为同一人或者存在直接控股、管理关系的不同供应商，不得同时参加本项目同一合同项下政府采购活动。供应商须在项目电子化交易系统中提交“单位负责人为同一人或者存在直接控股、管理关系的不同供应商，不得同时参加本项目同一合同项下的政府采购活动的承诺书”原件的扫描件，并完成电子签章。</w:t>
      </w:r>
    </w:p>
    <w:p>
      <w:pPr>
        <w:pStyle w:val="null3"/>
      </w:pPr>
      <w:r>
        <w:rPr>
          <w:rFonts w:ascii="仿宋_GB2312" w:hAnsi="仿宋_GB2312" w:cs="仿宋_GB2312" w:eastAsia="仿宋_GB2312"/>
        </w:rPr>
        <w:t>8、非联合体不分包响应声明：非联合体不分包响应声明：本项目不接受联合体投标，供应商须以一个独立的法人实体参加投标。供应商须在项目电子化交易系统中提交“非联合体不分包投标声明函”原件的扫描件，并完成电子签章。</w:t>
      </w:r>
    </w:p>
    <w:p>
      <w:pPr>
        <w:pStyle w:val="null3"/>
      </w:pPr>
      <w:r>
        <w:rPr>
          <w:rFonts w:ascii="仿宋_GB2312" w:hAnsi="仿宋_GB2312" w:cs="仿宋_GB2312" w:eastAsia="仿宋_GB2312"/>
        </w:rPr>
        <w:t>9、信用记录查询证明：信用记录查询证明：供应商未被信用中国网站（http://www.creditchina.gov.cn）列入信用记录失信被执行人、重大税收违法案件当事人名单，未被中国政府采购网（http://www.ccgp.gov.cn）列为政府采购严重违法失信行为记录名单、未被禁止参加政府采购活动。供应商须在项目电子化交易系统中提交在信用中国网站、中国政府采购网的信用记录查询截图（标注查询日期），并完成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商洛市公安局商丹循环工业经济园区分局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比亚迪大道西口</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13991560090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陕西中天国信项目管理有限公司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陕西省商洛市商州区朝阳路城投公司东隔壁二楼开标室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18991402322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开户名称：陕西中天国信项目管理有限公司</w:t>
            </w:r>
          </w:p>
          <w:p>
            <w:pPr>
              <w:pStyle w:val="null3"/>
            </w:pPr>
            <w:r>
              <w:rPr>
                <w:rFonts w:ascii="仿宋_GB2312" w:hAnsi="仿宋_GB2312" w:cs="仿宋_GB2312" w:eastAsia="仿宋_GB2312"/>
              </w:rPr>
              <w:t>开户银行：中国工商银行股份有限公司商洛行政广场支行</w:t>
            </w:r>
          </w:p>
          <w:p>
            <w:pPr>
              <w:pStyle w:val="null3"/>
            </w:pPr>
            <w:r>
              <w:rPr>
                <w:rFonts w:ascii="仿宋_GB2312" w:hAnsi="仿宋_GB2312" w:cs="仿宋_GB2312" w:eastAsia="仿宋_GB2312"/>
              </w:rPr>
              <w:t>银行账号：2608070409200065897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代理服务费收费标准：参照国家计委颁发的《招标代理服务收费管理暂行办法》（计价格[2002]1980号）、国家发 展改革委员会办公厅颁发的《关于招标代理服务收费有关问题的通知》（发改价格[2003]857号）有关规定向成交供 应商收取代理服务费。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商洛市公安局商丹循环工业经济园区分局</w:t>
      </w:r>
      <w:r>
        <w:rPr>
          <w:rFonts w:ascii="仿宋_GB2312" w:hAnsi="仿宋_GB2312" w:cs="仿宋_GB2312" w:eastAsia="仿宋_GB2312"/>
        </w:rPr>
        <w:t>和</w:t>
      </w:r>
      <w:r>
        <w:rPr>
          <w:rFonts w:ascii="仿宋_GB2312" w:hAnsi="仿宋_GB2312" w:cs="仿宋_GB2312" w:eastAsia="仿宋_GB2312"/>
        </w:rPr>
        <w:t>陕西中天国信项目管理有限公司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商洛市公安局商丹循环工业经济园区分局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陕西中天国信项目管理有限公司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商洛市公安局商丹循环工业经济园区分局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陕西中天国信项目管理有限公司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按照双方合同约定及相关法律规范规定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陕西中天国信项目管理有限公司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陕西中天国信项目管理有限公司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陕西中天国信项目管理有限公司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联系人：王肖</w:t>
      </w:r>
    </w:p>
    <w:p>
      <w:pPr>
        <w:pStyle w:val="null3"/>
      </w:pPr>
      <w:r>
        <w:rPr>
          <w:rFonts w:ascii="仿宋_GB2312" w:hAnsi="仿宋_GB2312" w:cs="仿宋_GB2312" w:eastAsia="仿宋_GB2312"/>
        </w:rPr>
        <w:t>联系电话：18991402322</w:t>
      </w:r>
    </w:p>
    <w:p>
      <w:pPr>
        <w:pStyle w:val="null3"/>
      </w:pPr>
      <w:r>
        <w:rPr>
          <w:rFonts w:ascii="仿宋_GB2312" w:hAnsi="仿宋_GB2312" w:cs="仿宋_GB2312" w:eastAsia="仿宋_GB2312"/>
        </w:rPr>
        <w:t>地址：陕西省商洛市商州区朝阳路城投公司东隔壁二楼</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移动警务通信信息化服务项目,为满足商洛市公安局高新分局民警开展移动办公、移动执法、即时通信、指挥调度等场景提供丰富的移动警务应用，主要提供由基础通信服务、系统安全服务、移动警务服务、系统对接服务等几部分组成的技术支撑和保障服务；项目预算金额为：380000.00元，服务期限：自合同签订之日起2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380,000.00</w:t>
      </w:r>
    </w:p>
    <w:p>
      <w:pPr>
        <w:pStyle w:val="null3"/>
      </w:pPr>
      <w:r>
        <w:rPr>
          <w:rFonts w:ascii="仿宋_GB2312" w:hAnsi="仿宋_GB2312" w:cs="仿宋_GB2312" w:eastAsia="仿宋_GB2312"/>
        </w:rPr>
        <w:t>采购包最高限价（元）: 380,000.00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移动警务通信信息化服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标的名称：移动警务通信信息化服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000000"/>
                <w:shd w:fill="FFFF00" w:val="clear"/>
              </w:rPr>
              <w:t>一、移动警务服务：</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定位导航：仅限北斗</w:t>
            </w:r>
          </w:p>
          <w:p>
            <w:pPr>
              <w:pStyle w:val="null3"/>
              <w:jc w:val="left"/>
            </w:pPr>
            <w:r>
              <w:rPr>
                <w:rFonts w:ascii="仿宋_GB2312" w:hAnsi="仿宋_GB2312" w:cs="仿宋_GB2312" w:eastAsia="仿宋_GB2312"/>
                <w:sz w:val="24"/>
                <w:color w:val="000000"/>
              </w:rPr>
              <w:t>2.提供符合省公安厅要求的4G/5G等无线网络标准接入服务，移动警务终端需通过入选《陕西省公安机关移动警务终端适配目录》。</w:t>
            </w:r>
          </w:p>
          <w:p>
            <w:pPr>
              <w:pStyle w:val="null3"/>
              <w:jc w:val="left"/>
            </w:pPr>
            <w:r>
              <w:rPr>
                <w:rFonts w:ascii="仿宋_GB2312" w:hAnsi="仿宋_GB2312" w:cs="仿宋_GB2312" w:eastAsia="仿宋_GB2312"/>
                <w:sz w:val="24"/>
                <w:color w:val="000000"/>
              </w:rPr>
              <w:t>3.提供符合公安部、省公安厅要求的终端安全监控组件服务。在服务期内警务通数据须适配和预装陕西省公安厅移动终端省厅指定软件，不可卸载。</w:t>
            </w:r>
          </w:p>
          <w:p>
            <w:pPr>
              <w:pStyle w:val="null3"/>
              <w:jc w:val="left"/>
            </w:pPr>
            <w:r>
              <w:rPr>
                <w:rFonts w:ascii="仿宋_GB2312" w:hAnsi="仿宋_GB2312" w:cs="仿宋_GB2312" w:eastAsia="仿宋_GB2312"/>
                <w:sz w:val="24"/>
                <w:color w:val="000000"/>
              </w:rPr>
              <w:t>4.保障采购人提供的现有用户号码继续作为警务通号码保持不变服务。</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.现场派驻服务。派驻≥1人，在合同服务期间内派驻人员到采购人单位开展硬件维护、软件升级、日常运维管理等工作，派驻人员派驻期间接受采购单位日常管理。</w:t>
            </w:r>
          </w:p>
          <w:p>
            <w:pPr>
              <w:pStyle w:val="null3"/>
              <w:jc w:val="left"/>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、基础通信服务（警务系统通信服务）：</w:t>
            </w:r>
          </w:p>
          <w:p>
            <w:pPr>
              <w:pStyle w:val="null3"/>
              <w:jc w:val="left"/>
            </w:pPr>
            <w:r>
              <w:rPr>
                <w:rFonts w:ascii="仿宋_GB2312" w:hAnsi="仿宋_GB2312" w:cs="仿宋_GB2312" w:eastAsia="仿宋_GB2312"/>
                <w:sz w:val="24"/>
                <w:color w:val="000000"/>
              </w:rPr>
              <w:t>每月提供</w:t>
            </w:r>
            <w:r>
              <w:rPr>
                <w:rFonts w:ascii="仿宋_GB2312" w:hAnsi="仿宋_GB2312" w:cs="仿宋_GB2312" w:eastAsia="仿宋_GB2312"/>
                <w:sz w:val="24"/>
                <w:color w:val="000000"/>
              </w:rPr>
              <w:t>≥2000分钟国内时长语音接入，每月提供≥150GB国内流量接入，每月提供≥150条短信，提供不低于千兆互联网服务；实现信息内外网之间网络资源数据的安全交换，保障在移动信息化建设过程中，只有合法的用户才能访问合法的信息内外资源，保持原有终端用户号码保持不变。</w:t>
            </w:r>
          </w:p>
          <w:p>
            <w:pPr>
              <w:pStyle w:val="null3"/>
              <w:jc w:val="left"/>
            </w:pPr>
            <w:r>
              <w:rPr>
                <w:rFonts w:ascii="仿宋_GB2312" w:hAnsi="仿宋_GB2312" w:cs="仿宋_GB2312" w:eastAsia="仿宋_GB2312"/>
                <w:sz w:val="24"/>
                <w:color w:val="000000"/>
              </w:rPr>
              <w:t>数量：</w:t>
            </w:r>
            <w:r>
              <w:rPr>
                <w:rFonts w:ascii="仿宋_GB2312" w:hAnsi="仿宋_GB2312" w:cs="仿宋_GB2312" w:eastAsia="仿宋_GB2312"/>
                <w:sz w:val="24"/>
                <w:color w:val="000000"/>
              </w:rPr>
              <w:t>47</w:t>
            </w:r>
          </w:p>
          <w:p>
            <w:pPr>
              <w:pStyle w:val="null3"/>
              <w:jc w:val="left"/>
            </w:pPr>
            <w:r>
              <w:rPr>
                <w:rFonts w:ascii="仿宋_GB2312" w:hAnsi="仿宋_GB2312" w:cs="仿宋_GB2312" w:eastAsia="仿宋_GB2312"/>
                <w:sz w:val="24"/>
                <w:b/>
                <w:color w:val="000000"/>
                <w:shd w:fill="FFFF00" w:val="clear"/>
              </w:rPr>
              <w:t>三</w:t>
            </w:r>
            <w:r>
              <w:rPr>
                <w:rFonts w:ascii="仿宋_GB2312" w:hAnsi="仿宋_GB2312" w:cs="仿宋_GB2312" w:eastAsia="仿宋_GB2312"/>
                <w:sz w:val="24"/>
                <w:b/>
                <w:color w:val="000000"/>
                <w:shd w:fill="FFFF00" w:val="clear"/>
              </w:rPr>
              <w:t>、系统安全服务：</w:t>
            </w:r>
          </w:p>
          <w:p>
            <w:pPr>
              <w:pStyle w:val="null3"/>
              <w:jc w:val="left"/>
            </w:pPr>
            <w:r>
              <w:rPr>
                <w:rFonts w:ascii="仿宋_GB2312" w:hAnsi="仿宋_GB2312" w:cs="仿宋_GB2312" w:eastAsia="仿宋_GB2312"/>
                <w:sz w:val="24"/>
                <w:color w:val="000000"/>
              </w:rPr>
              <w:t>1.具有双模式功能，一个为安全工作（专网）模式，一个为互联网模式；</w:t>
            </w:r>
          </w:p>
          <w:p>
            <w:pPr>
              <w:pStyle w:val="null3"/>
              <w:jc w:val="left"/>
            </w:pPr>
            <w:r>
              <w:rPr>
                <w:rFonts w:ascii="仿宋_GB2312" w:hAnsi="仿宋_GB2312" w:cs="仿宋_GB2312" w:eastAsia="仿宋_GB2312"/>
                <w:sz w:val="24"/>
                <w:color w:val="000000"/>
              </w:rPr>
              <w:t>2.各模式独立运行，可相互切换；各模式分别有独立的、差异化的人机交互界面，包括但不限于系统桌面、状态栏、快捷面板、锁屏、安装应用界面；</w:t>
            </w:r>
          </w:p>
          <w:p>
            <w:pPr>
              <w:pStyle w:val="null3"/>
              <w:jc w:val="left"/>
            </w:pPr>
            <w:r>
              <w:rPr>
                <w:rFonts w:ascii="仿宋_GB2312" w:hAnsi="仿宋_GB2312" w:cs="仿宋_GB2312" w:eastAsia="仿宋_GB2312"/>
                <w:sz w:val="24"/>
                <w:color w:val="000000"/>
              </w:rPr>
              <w:t>3.各模式分别有独立的文件系统且彼此隔离，不能互相访问；</w:t>
            </w:r>
          </w:p>
          <w:p>
            <w:pPr>
              <w:pStyle w:val="null3"/>
              <w:jc w:val="left"/>
            </w:pPr>
            <w:r>
              <w:rPr>
                <w:rFonts w:ascii="仿宋_GB2312" w:hAnsi="仿宋_GB2312" w:cs="仿宋_GB2312" w:eastAsia="仿宋_GB2312"/>
                <w:sz w:val="24"/>
                <w:color w:val="000000"/>
              </w:rPr>
              <w:t>4.各模式下的数据彼此隔离，不能互相访问；</w:t>
            </w:r>
          </w:p>
          <w:p>
            <w:pPr>
              <w:pStyle w:val="null3"/>
              <w:jc w:val="left"/>
            </w:pPr>
            <w:r>
              <w:rPr>
                <w:rFonts w:ascii="仿宋_GB2312" w:hAnsi="仿宋_GB2312" w:cs="仿宋_GB2312" w:eastAsia="仿宋_GB2312"/>
                <w:sz w:val="24"/>
                <w:color w:val="000000"/>
              </w:rPr>
              <w:t>5.各模式下存储区应彼此隔离，不能互相访问；</w:t>
            </w:r>
          </w:p>
          <w:p>
            <w:pPr>
              <w:pStyle w:val="null3"/>
              <w:jc w:val="left"/>
            </w:pPr>
            <w:r>
              <w:rPr>
                <w:rFonts w:ascii="仿宋_GB2312" w:hAnsi="仿宋_GB2312" w:cs="仿宋_GB2312" w:eastAsia="仿宋_GB2312"/>
                <w:sz w:val="24"/>
                <w:color w:val="000000"/>
              </w:rPr>
              <w:t>6.各模式支持独立设置解锁指纹和解锁密码；</w:t>
            </w:r>
          </w:p>
          <w:p>
            <w:pPr>
              <w:pStyle w:val="null3"/>
              <w:jc w:val="left"/>
            </w:pPr>
            <w:r>
              <w:rPr>
                <w:rFonts w:ascii="仿宋_GB2312" w:hAnsi="仿宋_GB2312" w:cs="仿宋_GB2312" w:eastAsia="仿宋_GB2312"/>
                <w:sz w:val="24"/>
                <w:color w:val="000000"/>
              </w:rPr>
              <w:t>7.系统支持防root；</w:t>
            </w:r>
          </w:p>
          <w:p>
            <w:pPr>
              <w:pStyle w:val="null3"/>
              <w:jc w:val="left"/>
            </w:pPr>
            <w:r>
              <w:rPr>
                <w:rFonts w:ascii="仿宋_GB2312" w:hAnsi="仿宋_GB2312" w:cs="仿宋_GB2312" w:eastAsia="仿宋_GB2312"/>
                <w:sz w:val="24"/>
                <w:color w:val="000000"/>
              </w:rPr>
              <w:t>8.某一个系统瘫痪不会影响另一个系统的正常运行；</w:t>
            </w:r>
          </w:p>
          <w:p>
            <w:pPr>
              <w:pStyle w:val="null3"/>
              <w:jc w:val="left"/>
            </w:pPr>
            <w:r>
              <w:rPr>
                <w:rFonts w:ascii="仿宋_GB2312" w:hAnsi="仿宋_GB2312" w:cs="仿宋_GB2312" w:eastAsia="仿宋_GB2312"/>
                <w:sz w:val="24"/>
                <w:color w:val="000000"/>
              </w:rPr>
              <w:t>9.电话：各模式都能接电话，当前在哪个模式接电话通话记录保存在哪个模式下，数据相互独立存储，相互不能访问；</w:t>
            </w:r>
          </w:p>
          <w:p>
            <w:pPr>
              <w:pStyle w:val="null3"/>
              <w:jc w:val="left"/>
            </w:pPr>
            <w:r>
              <w:rPr>
                <w:rFonts w:ascii="仿宋_GB2312" w:hAnsi="仿宋_GB2312" w:cs="仿宋_GB2312" w:eastAsia="仿宋_GB2312"/>
                <w:sz w:val="24"/>
                <w:color w:val="000000"/>
              </w:rPr>
              <w:t>10.短信息：各模式都能收发短信，当前在哪个模式收发信息就保存在哪个模式下；数据相互独立存储，相互不能访问；</w:t>
            </w:r>
          </w:p>
          <w:p>
            <w:pPr>
              <w:pStyle w:val="null3"/>
              <w:jc w:val="left"/>
            </w:pPr>
            <w:r>
              <w:rPr>
                <w:rFonts w:ascii="仿宋_GB2312" w:hAnsi="仿宋_GB2312" w:cs="仿宋_GB2312" w:eastAsia="仿宋_GB2312"/>
                <w:sz w:val="24"/>
                <w:color w:val="000000"/>
              </w:rPr>
              <w:t>11.通讯录：各模式下分别有自己的通信录，通讯录数据相互独立，不能相互访问。</w:t>
            </w:r>
          </w:p>
          <w:p>
            <w:pPr>
              <w:pStyle w:val="null3"/>
              <w:jc w:val="left"/>
            </w:pPr>
            <w:r>
              <w:rPr>
                <w:rFonts w:ascii="仿宋_GB2312" w:hAnsi="仿宋_GB2312" w:cs="仿宋_GB2312" w:eastAsia="仿宋_GB2312"/>
                <w:sz w:val="24"/>
                <w:color w:val="000000"/>
              </w:rPr>
              <w:t>12.个人模式与工作模式可以连接不同的APN或VPDN节点，个人模式连接互联网，工作模式通过运营商APN或VPDN网络连接公安专用网络；</w:t>
            </w:r>
          </w:p>
          <w:p>
            <w:pPr>
              <w:pStyle w:val="null3"/>
              <w:jc w:val="left"/>
            </w:pPr>
            <w:r>
              <w:rPr>
                <w:rFonts w:ascii="仿宋_GB2312" w:hAnsi="仿宋_GB2312" w:cs="仿宋_GB2312" w:eastAsia="仿宋_GB2312"/>
                <w:sz w:val="24"/>
                <w:color w:val="000000"/>
              </w:rPr>
              <w:t>13.VPDN进入工作模式时，后台自动拨号连接，用户无感知；</w:t>
            </w:r>
          </w:p>
          <w:p>
            <w:pPr>
              <w:pStyle w:val="null3"/>
              <w:jc w:val="left"/>
            </w:pPr>
            <w:r>
              <w:rPr>
                <w:rFonts w:ascii="仿宋_GB2312" w:hAnsi="仿宋_GB2312" w:cs="仿宋_GB2312" w:eastAsia="仿宋_GB2312"/>
                <w:sz w:val="24"/>
                <w:color w:val="000000"/>
              </w:rPr>
              <w:t>14.可通过预制WLAN功能策略或管控接口配置，禁用WLAN，禁止连接无线局域网、开启热点、相互连接；</w:t>
            </w:r>
          </w:p>
          <w:p>
            <w:pPr>
              <w:pStyle w:val="null3"/>
              <w:jc w:val="left"/>
            </w:pPr>
            <w:r>
              <w:rPr>
                <w:rFonts w:ascii="仿宋_GB2312" w:hAnsi="仿宋_GB2312" w:cs="仿宋_GB2312" w:eastAsia="仿宋_GB2312"/>
                <w:sz w:val="24"/>
                <w:color w:val="000000"/>
              </w:rPr>
              <w:t>15.在接入数据专网时，支持IPSec或SSL/TLS VPN客户端安装运行，基于数字证书实现网络身份验证；</w:t>
            </w:r>
          </w:p>
          <w:p>
            <w:pPr>
              <w:pStyle w:val="null3"/>
              <w:jc w:val="left"/>
            </w:pPr>
            <w:r>
              <w:rPr>
                <w:rFonts w:ascii="仿宋_GB2312" w:hAnsi="仿宋_GB2312" w:cs="仿宋_GB2312" w:eastAsia="仿宋_GB2312"/>
                <w:sz w:val="24"/>
                <w:color w:val="000000"/>
              </w:rPr>
              <w:t>16.不能通过蓝牙、NFC等外围接口进行模式之间数据摆渡；</w:t>
            </w:r>
          </w:p>
          <w:p>
            <w:pPr>
              <w:pStyle w:val="null3"/>
              <w:jc w:val="left"/>
            </w:pPr>
            <w:r>
              <w:rPr>
                <w:rFonts w:ascii="仿宋_GB2312" w:hAnsi="仿宋_GB2312" w:cs="仿宋_GB2312" w:eastAsia="仿宋_GB2312"/>
                <w:sz w:val="24"/>
                <w:color w:val="000000"/>
              </w:rPr>
              <w:t>17.不能通过外接存储设备进行模式之间数据摆渡；</w:t>
            </w:r>
          </w:p>
          <w:p>
            <w:pPr>
              <w:pStyle w:val="null3"/>
              <w:jc w:val="left"/>
            </w:pPr>
            <w:r>
              <w:rPr>
                <w:rFonts w:ascii="仿宋_GB2312" w:hAnsi="仿宋_GB2312" w:cs="仿宋_GB2312" w:eastAsia="仿宋_GB2312"/>
                <w:sz w:val="24"/>
                <w:color w:val="000000"/>
              </w:rPr>
              <w:t>18.支持基于芯片集成安全模块的警务通加解密服务，并实现证书远程管理功能。</w:t>
            </w:r>
          </w:p>
          <w:p>
            <w:pPr>
              <w:pStyle w:val="null3"/>
              <w:jc w:val="left"/>
            </w:pPr>
            <w:r>
              <w:rPr>
                <w:rFonts w:ascii="仿宋_GB2312" w:hAnsi="仿宋_GB2312" w:cs="仿宋_GB2312" w:eastAsia="仿宋_GB2312"/>
                <w:sz w:val="24"/>
                <w:color w:val="000000"/>
              </w:rPr>
              <w:t>19.支持公安系统平台接入密码模块（薄膜卡/TF卡等）的安装及应用。</w:t>
            </w:r>
          </w:p>
          <w:p>
            <w:pPr>
              <w:pStyle w:val="null3"/>
              <w:jc w:val="left"/>
            </w:pPr>
            <w:r>
              <w:rPr>
                <w:rFonts w:ascii="仿宋_GB2312" w:hAnsi="仿宋_GB2312" w:cs="仿宋_GB2312" w:eastAsia="仿宋_GB2312"/>
                <w:sz w:val="24"/>
                <w:color w:val="000000"/>
              </w:rPr>
              <w:t>数量：</w:t>
            </w:r>
            <w:r>
              <w:rPr>
                <w:rFonts w:ascii="仿宋_GB2312" w:hAnsi="仿宋_GB2312" w:cs="仿宋_GB2312" w:eastAsia="仿宋_GB2312"/>
                <w:sz w:val="24"/>
                <w:color w:val="000000"/>
              </w:rPr>
              <w:t>47</w:t>
            </w:r>
          </w:p>
          <w:p>
            <w:pPr>
              <w:pStyle w:val="null3"/>
              <w:jc w:val="left"/>
            </w:pPr>
            <w:r>
              <w:rPr>
                <w:rFonts w:ascii="仿宋_GB2312" w:hAnsi="仿宋_GB2312" w:cs="仿宋_GB2312" w:eastAsia="仿宋_GB2312"/>
                <w:sz w:val="24"/>
                <w:b/>
                <w:color w:val="000000"/>
                <w:shd w:fill="FFFF00" w:val="clear"/>
              </w:rPr>
              <w:t>四</w:t>
            </w:r>
            <w:r>
              <w:rPr>
                <w:rFonts w:ascii="仿宋_GB2312" w:hAnsi="仿宋_GB2312" w:cs="仿宋_GB2312" w:eastAsia="仿宋_GB2312"/>
                <w:sz w:val="24"/>
                <w:b/>
                <w:color w:val="000000"/>
                <w:shd w:fill="FFFF00" w:val="clear"/>
              </w:rPr>
              <w:t>、移动警务服务</w:t>
            </w:r>
          </w:p>
          <w:p>
            <w:pPr>
              <w:pStyle w:val="null3"/>
              <w:jc w:val="left"/>
            </w:pPr>
            <w:r>
              <w:rPr>
                <w:rFonts w:ascii="仿宋_GB2312" w:hAnsi="仿宋_GB2312" w:cs="仿宋_GB2312" w:eastAsia="仿宋_GB2312"/>
                <w:sz w:val="24"/>
              </w:rPr>
              <w:t>基本要求：</w:t>
            </w:r>
          </w:p>
          <w:p>
            <w:pPr>
              <w:pStyle w:val="null3"/>
              <w:jc w:val="left"/>
            </w:pPr>
            <w:r>
              <w:rPr>
                <w:rFonts w:ascii="仿宋_GB2312" w:hAnsi="仿宋_GB2312" w:cs="仿宋_GB2312" w:eastAsia="仿宋_GB2312"/>
                <w:sz w:val="24"/>
              </w:rPr>
              <w:t>1）终端品牌，国产品牌。</w:t>
            </w:r>
          </w:p>
          <w:p>
            <w:pPr>
              <w:pStyle w:val="null3"/>
              <w:jc w:val="left"/>
            </w:pPr>
            <w:r>
              <w:rPr>
                <w:rFonts w:ascii="仿宋_GB2312" w:hAnsi="仿宋_GB2312" w:cs="仿宋_GB2312" w:eastAsia="仿宋_GB2312"/>
                <w:sz w:val="24"/>
              </w:rPr>
              <w:t>双系统隔离：</w:t>
            </w:r>
          </w:p>
          <w:p>
            <w:pPr>
              <w:pStyle w:val="null3"/>
              <w:jc w:val="left"/>
            </w:pPr>
            <w:r>
              <w:rPr>
                <w:rFonts w:ascii="仿宋_GB2312" w:hAnsi="仿宋_GB2312" w:cs="仿宋_GB2312" w:eastAsia="仿宋_GB2312"/>
                <w:sz w:val="24"/>
              </w:rPr>
              <w:t>1）两个操作系统均为</w:t>
            </w:r>
            <w:r>
              <w:rPr>
                <w:rFonts w:ascii="仿宋_GB2312" w:hAnsi="仿宋_GB2312" w:cs="仿宋_GB2312" w:eastAsia="仿宋_GB2312"/>
                <w:sz w:val="24"/>
                <w:b/>
              </w:rPr>
              <w:t>国产操作系统</w:t>
            </w:r>
            <w:r>
              <w:rPr>
                <w:rFonts w:ascii="仿宋_GB2312" w:hAnsi="仿宋_GB2312" w:cs="仿宋_GB2312" w:eastAsia="仿宋_GB2312"/>
                <w:sz w:val="24"/>
              </w:rPr>
              <w:t>，运行在不同的</w:t>
            </w:r>
            <w:r>
              <w:rPr>
                <w:rFonts w:ascii="仿宋_GB2312" w:hAnsi="仿宋_GB2312" w:cs="仿宋_GB2312" w:eastAsia="仿宋_GB2312"/>
                <w:sz w:val="24"/>
              </w:rPr>
              <w:t>ROM空间，系统文件独立。</w:t>
            </w:r>
          </w:p>
          <w:p>
            <w:pPr>
              <w:pStyle w:val="null3"/>
              <w:jc w:val="left"/>
            </w:pPr>
            <w:r>
              <w:rPr>
                <w:rFonts w:ascii="仿宋_GB2312" w:hAnsi="仿宋_GB2312" w:cs="仿宋_GB2312" w:eastAsia="仿宋_GB2312"/>
                <w:sz w:val="24"/>
              </w:rPr>
              <w:t>2）通话记录、通讯录、图片、视频以及其他信息不能互相访问。</w:t>
            </w:r>
          </w:p>
          <w:p>
            <w:pPr>
              <w:pStyle w:val="null3"/>
              <w:jc w:val="left"/>
            </w:pPr>
            <w:r>
              <w:rPr>
                <w:rFonts w:ascii="仿宋_GB2312" w:hAnsi="仿宋_GB2312" w:cs="仿宋_GB2312" w:eastAsia="仿宋_GB2312"/>
                <w:sz w:val="24"/>
              </w:rPr>
              <w:t>3）两个操作系统间支持一键快速切换、指纹切换、NFC感应切换。</w:t>
            </w:r>
          </w:p>
          <w:p>
            <w:pPr>
              <w:pStyle w:val="null3"/>
              <w:jc w:val="left"/>
            </w:pPr>
            <w:r>
              <w:rPr>
                <w:rFonts w:ascii="仿宋_GB2312" w:hAnsi="仿宋_GB2312" w:cs="仿宋_GB2312" w:eastAsia="仿宋_GB2312"/>
                <w:sz w:val="24"/>
              </w:rPr>
              <w:t>4）某一个系统瘫痪不会影响另一个系统的运行。</w:t>
            </w:r>
          </w:p>
          <w:p>
            <w:pPr>
              <w:pStyle w:val="null3"/>
              <w:jc w:val="left"/>
            </w:pPr>
            <w:r>
              <w:rPr>
                <w:rFonts w:ascii="仿宋_GB2312" w:hAnsi="仿宋_GB2312" w:cs="仿宋_GB2312" w:eastAsia="仿宋_GB2312"/>
                <w:sz w:val="24"/>
              </w:rPr>
              <w:t>处理器要求：</w:t>
            </w:r>
          </w:p>
          <w:p>
            <w:pPr>
              <w:pStyle w:val="null3"/>
              <w:jc w:val="left"/>
            </w:pPr>
            <w:r>
              <w:rPr>
                <w:rFonts w:ascii="仿宋_GB2312" w:hAnsi="仿宋_GB2312" w:cs="仿宋_GB2312" w:eastAsia="仿宋_GB2312"/>
                <w:sz w:val="24"/>
              </w:rPr>
              <w:t>CPU核数≥八核</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网络制式要求：</w:t>
            </w:r>
          </w:p>
          <w:p>
            <w:pPr>
              <w:pStyle w:val="null3"/>
              <w:jc w:val="left"/>
            </w:pPr>
            <w:r>
              <w:rPr>
                <w:rFonts w:ascii="仿宋_GB2312" w:hAnsi="仿宋_GB2312" w:cs="仿宋_GB2312" w:eastAsia="仿宋_GB2312"/>
                <w:sz w:val="24"/>
              </w:rPr>
              <w:t>双卡双待</w:t>
            </w:r>
            <w:r>
              <w:rPr>
                <w:rFonts w:ascii="仿宋_GB2312" w:hAnsi="仿宋_GB2312" w:cs="仿宋_GB2312" w:eastAsia="仿宋_GB2312"/>
                <w:sz w:val="24"/>
              </w:rPr>
              <w:t>,全网通。</w:t>
            </w:r>
          </w:p>
          <w:p>
            <w:pPr>
              <w:pStyle w:val="null3"/>
              <w:jc w:val="left"/>
            </w:pPr>
            <w:r>
              <w:rPr>
                <w:rFonts w:ascii="仿宋_GB2312" w:hAnsi="仿宋_GB2312" w:cs="仿宋_GB2312" w:eastAsia="仿宋_GB2312"/>
                <w:sz w:val="24"/>
              </w:rPr>
              <w:t>存储要求：</w:t>
            </w:r>
          </w:p>
          <w:p>
            <w:pPr>
              <w:pStyle w:val="null3"/>
              <w:jc w:val="left"/>
            </w:pPr>
            <w:r>
              <w:rPr>
                <w:rFonts w:ascii="仿宋_GB2312" w:hAnsi="仿宋_GB2312" w:cs="仿宋_GB2312" w:eastAsia="仿宋_GB2312"/>
                <w:sz w:val="24"/>
              </w:rPr>
              <w:t>1）运行内存（RAM）≥12GB。</w:t>
            </w:r>
          </w:p>
          <w:p>
            <w:pPr>
              <w:pStyle w:val="null3"/>
              <w:jc w:val="left"/>
            </w:pPr>
            <w:r>
              <w:rPr>
                <w:rFonts w:ascii="仿宋_GB2312" w:hAnsi="仿宋_GB2312" w:cs="仿宋_GB2312" w:eastAsia="仿宋_GB2312"/>
                <w:sz w:val="24"/>
              </w:rPr>
              <w:t>2）机身内存（ROM）≥256GB。</w:t>
            </w:r>
          </w:p>
          <w:p>
            <w:pPr>
              <w:pStyle w:val="null3"/>
              <w:jc w:val="left"/>
            </w:pPr>
            <w:r>
              <w:rPr>
                <w:rFonts w:ascii="仿宋_GB2312" w:hAnsi="仿宋_GB2312" w:cs="仿宋_GB2312" w:eastAsia="仿宋_GB2312"/>
                <w:sz w:val="24"/>
              </w:rPr>
              <w:t>屏幕要求：</w:t>
            </w:r>
          </w:p>
          <w:p>
            <w:pPr>
              <w:pStyle w:val="null3"/>
              <w:jc w:val="left"/>
            </w:pPr>
            <w:r>
              <w:rPr>
                <w:rFonts w:ascii="仿宋_GB2312" w:hAnsi="仿宋_GB2312" w:cs="仿宋_GB2312" w:eastAsia="仿宋_GB2312"/>
                <w:sz w:val="24"/>
              </w:rPr>
              <w:t>1）屏幕尺寸≥6.7英寸。</w:t>
            </w:r>
          </w:p>
          <w:p>
            <w:pPr>
              <w:pStyle w:val="null3"/>
              <w:jc w:val="left"/>
            </w:pPr>
            <w:r>
              <w:rPr>
                <w:rFonts w:ascii="仿宋_GB2312" w:hAnsi="仿宋_GB2312" w:cs="仿宋_GB2312" w:eastAsia="仿宋_GB2312"/>
                <w:sz w:val="24"/>
              </w:rPr>
              <w:t>2）屏幕分辨率≥2688x12</w:t>
            </w:r>
            <w:r>
              <w:rPr>
                <w:rFonts w:ascii="仿宋_GB2312" w:hAnsi="仿宋_GB2312" w:cs="仿宋_GB2312" w:eastAsia="仿宋_GB2312"/>
                <w:sz w:val="24"/>
              </w:rPr>
              <w:t>1</w:t>
            </w:r>
            <w:r>
              <w:rPr>
                <w:rFonts w:ascii="仿宋_GB2312" w:hAnsi="仿宋_GB2312" w:cs="仿宋_GB2312" w:eastAsia="仿宋_GB2312"/>
                <w:sz w:val="24"/>
              </w:rPr>
              <w:t>6 像素。</w:t>
            </w:r>
          </w:p>
          <w:p>
            <w:pPr>
              <w:pStyle w:val="null3"/>
              <w:jc w:val="left"/>
            </w:pPr>
            <w:r>
              <w:rPr>
                <w:rFonts w:ascii="仿宋_GB2312" w:hAnsi="仿宋_GB2312" w:cs="仿宋_GB2312" w:eastAsia="仿宋_GB2312"/>
                <w:sz w:val="24"/>
              </w:rPr>
              <w:t>3）提供屏幕材质防摔第三方认证。</w:t>
            </w:r>
          </w:p>
          <w:p>
            <w:pPr>
              <w:pStyle w:val="null3"/>
              <w:jc w:val="left"/>
            </w:pPr>
            <w:r>
              <w:rPr>
                <w:rFonts w:ascii="仿宋_GB2312" w:hAnsi="仿宋_GB2312" w:cs="仿宋_GB2312" w:eastAsia="仿宋_GB2312"/>
                <w:sz w:val="24"/>
              </w:rPr>
              <w:t>拍摄功能要求：</w:t>
            </w:r>
          </w:p>
          <w:p>
            <w:pPr>
              <w:pStyle w:val="null3"/>
              <w:jc w:val="left"/>
            </w:pPr>
            <w:r>
              <w:rPr>
                <w:rFonts w:ascii="仿宋_GB2312" w:hAnsi="仿宋_GB2312" w:cs="仿宋_GB2312" w:eastAsia="仿宋_GB2312"/>
                <w:sz w:val="24"/>
              </w:rPr>
              <w:t>1）后置主摄像头≥5000万像素，支持可变光圈，支持光学变焦、支持OIS光学防抖。</w:t>
            </w:r>
          </w:p>
          <w:p>
            <w:pPr>
              <w:pStyle w:val="null3"/>
              <w:jc w:val="left"/>
            </w:pPr>
            <w:r>
              <w:rPr>
                <w:rFonts w:ascii="仿宋_GB2312" w:hAnsi="仿宋_GB2312" w:cs="仿宋_GB2312" w:eastAsia="仿宋_GB2312"/>
                <w:sz w:val="24"/>
              </w:rPr>
              <w:t>2）前置摄像头≥1300万像素。</w:t>
            </w:r>
          </w:p>
          <w:p>
            <w:pPr>
              <w:pStyle w:val="null3"/>
              <w:jc w:val="left"/>
            </w:pPr>
            <w:r>
              <w:rPr>
                <w:rFonts w:ascii="仿宋_GB2312" w:hAnsi="仿宋_GB2312" w:cs="仿宋_GB2312" w:eastAsia="仿宋_GB2312"/>
                <w:sz w:val="24"/>
              </w:rPr>
              <w:t>传输功能要求：</w:t>
            </w:r>
          </w:p>
          <w:p>
            <w:pPr>
              <w:pStyle w:val="null3"/>
              <w:jc w:val="left"/>
            </w:pPr>
            <w:r>
              <w:rPr>
                <w:rFonts w:ascii="仿宋_GB2312" w:hAnsi="仿宋_GB2312" w:cs="仿宋_GB2312" w:eastAsia="仿宋_GB2312"/>
                <w:sz w:val="24"/>
              </w:rPr>
              <w:t>1）NFC：支持读卡器模式、点对点模式。</w:t>
            </w:r>
          </w:p>
          <w:p>
            <w:pPr>
              <w:pStyle w:val="null3"/>
              <w:jc w:val="left"/>
            </w:pPr>
            <w:r>
              <w:rPr>
                <w:rFonts w:ascii="仿宋_GB2312" w:hAnsi="仿宋_GB2312" w:cs="仿宋_GB2312" w:eastAsia="仿宋_GB2312"/>
                <w:sz w:val="24"/>
              </w:rPr>
              <w:t>2）定位：单北斗定位功能。</w:t>
            </w:r>
          </w:p>
          <w:p>
            <w:pPr>
              <w:pStyle w:val="null3"/>
              <w:jc w:val="left"/>
            </w:pPr>
            <w:r>
              <w:rPr>
                <w:rFonts w:ascii="仿宋_GB2312" w:hAnsi="仿宋_GB2312" w:cs="仿宋_GB2312" w:eastAsia="仿宋_GB2312"/>
                <w:sz w:val="24"/>
              </w:rPr>
              <w:t>3）通信:为保障应急和极端场景下的通信要求，所投移动警务终端可在无地面网络信号覆盖或网络中断的环境下，支持文字和图片卫星消息收发功能。</w:t>
            </w:r>
          </w:p>
          <w:p>
            <w:pPr>
              <w:pStyle w:val="null3"/>
              <w:jc w:val="left"/>
            </w:pPr>
            <w:r>
              <w:rPr>
                <w:rFonts w:ascii="仿宋_GB2312" w:hAnsi="仿宋_GB2312" w:cs="仿宋_GB2312" w:eastAsia="仿宋_GB2312"/>
                <w:sz w:val="24"/>
              </w:rPr>
              <w:t>4）蓝牙BT5.2或以上，支持BLE、SBC、AAC、LDAC、APTX, APTX HD OTG。</w:t>
            </w:r>
          </w:p>
          <w:p>
            <w:pPr>
              <w:pStyle w:val="null3"/>
              <w:jc w:val="left"/>
            </w:pPr>
            <w:r>
              <w:rPr>
                <w:rFonts w:ascii="仿宋_GB2312" w:hAnsi="仿宋_GB2312" w:cs="仿宋_GB2312" w:eastAsia="仿宋_GB2312"/>
                <w:sz w:val="24"/>
              </w:rPr>
              <w:t>5）传感器：具备以下传感器能力：重力传感器、红外传感器</w:t>
            </w:r>
            <w:r>
              <w:rPr>
                <w:rFonts w:ascii="仿宋_GB2312" w:hAnsi="仿宋_GB2312" w:cs="仿宋_GB2312" w:eastAsia="仿宋_GB2312"/>
                <w:sz w:val="24"/>
              </w:rPr>
              <w:t>、霍尔传感器、</w:t>
            </w:r>
            <w:r>
              <w:rPr>
                <w:rFonts w:ascii="仿宋_GB2312" w:hAnsi="仿宋_GB2312" w:cs="仿宋_GB2312" w:eastAsia="仿宋_GB2312"/>
                <w:sz w:val="24"/>
              </w:rPr>
              <w:t>陀螺仪、指南针、指纹传感器、环境光传感器、接近光传感器。</w:t>
            </w:r>
          </w:p>
          <w:p>
            <w:pPr>
              <w:pStyle w:val="null3"/>
              <w:jc w:val="left"/>
            </w:pPr>
            <w:r>
              <w:rPr>
                <w:rFonts w:ascii="仿宋_GB2312" w:hAnsi="仿宋_GB2312" w:cs="仿宋_GB2312" w:eastAsia="仿宋_GB2312"/>
                <w:sz w:val="24"/>
              </w:rPr>
              <w:t>操作系统要求：</w:t>
            </w:r>
          </w:p>
          <w:p>
            <w:pPr>
              <w:pStyle w:val="null3"/>
              <w:jc w:val="left"/>
            </w:pPr>
            <w:r>
              <w:rPr>
                <w:rFonts w:ascii="仿宋_GB2312" w:hAnsi="仿宋_GB2312" w:cs="仿宋_GB2312" w:eastAsia="仿宋_GB2312"/>
                <w:sz w:val="24"/>
              </w:rPr>
              <w:t>国产操作双系统。</w:t>
            </w:r>
          </w:p>
          <w:p>
            <w:pPr>
              <w:pStyle w:val="null3"/>
              <w:jc w:val="left"/>
            </w:pPr>
            <w:r>
              <w:rPr>
                <w:rFonts w:ascii="仿宋_GB2312" w:hAnsi="仿宋_GB2312" w:cs="仿宋_GB2312" w:eastAsia="仿宋_GB2312"/>
                <w:sz w:val="24"/>
              </w:rPr>
              <w:t>其它要求：</w:t>
            </w:r>
          </w:p>
          <w:p>
            <w:pPr>
              <w:pStyle w:val="null3"/>
              <w:jc w:val="left"/>
            </w:pPr>
            <w:r>
              <w:rPr>
                <w:rFonts w:ascii="仿宋_GB2312" w:hAnsi="仿宋_GB2312" w:cs="仿宋_GB2312" w:eastAsia="仿宋_GB2312"/>
                <w:sz w:val="24"/>
                <w:color w:val="000000"/>
              </w:rPr>
              <w:t>1）电池容量≥4500mAh（典型值)；支持Type-C数据线接口；支持OTA在线软件升级。</w:t>
            </w:r>
          </w:p>
          <w:p>
            <w:pPr>
              <w:pStyle w:val="null3"/>
              <w:jc w:val="left"/>
            </w:pPr>
            <w:r>
              <w:rPr>
                <w:rFonts w:ascii="仿宋_GB2312" w:hAnsi="仿宋_GB2312" w:cs="仿宋_GB2312" w:eastAsia="仿宋_GB2312"/>
                <w:sz w:val="24"/>
                <w:color w:val="000000"/>
              </w:rPr>
              <w:t>2）提供《公安部安全与警用电子产品质量检测中心》检测报告。</w:t>
            </w:r>
          </w:p>
          <w:p>
            <w:pPr>
              <w:pStyle w:val="null3"/>
              <w:jc w:val="left"/>
            </w:pPr>
            <w:r>
              <w:rPr>
                <w:rFonts w:ascii="仿宋_GB2312" w:hAnsi="仿宋_GB2312" w:cs="仿宋_GB2312" w:eastAsia="仿宋_GB2312"/>
                <w:sz w:val="24"/>
                <w:color w:val="000000"/>
              </w:rPr>
              <w:t>3）满足国家十四五规划（信息产品国产化要求，支持国产操作安全双系统）。</w:t>
            </w:r>
          </w:p>
          <w:p>
            <w:pPr>
              <w:pStyle w:val="null3"/>
              <w:jc w:val="left"/>
            </w:pPr>
            <w:r>
              <w:rPr>
                <w:rFonts w:ascii="仿宋_GB2312" w:hAnsi="仿宋_GB2312" w:cs="仿宋_GB2312" w:eastAsia="仿宋_GB2312"/>
                <w:sz w:val="24"/>
                <w:color w:val="000000"/>
              </w:rPr>
              <w:t>数量：</w:t>
            </w:r>
            <w:r>
              <w:rPr>
                <w:rFonts w:ascii="仿宋_GB2312" w:hAnsi="仿宋_GB2312" w:cs="仿宋_GB2312" w:eastAsia="仿宋_GB2312"/>
                <w:sz w:val="24"/>
                <w:color w:val="000000"/>
              </w:rPr>
              <w:t>47</w:t>
            </w:r>
          </w:p>
          <w:p>
            <w:pPr>
              <w:pStyle w:val="null3"/>
              <w:jc w:val="left"/>
            </w:pPr>
            <w:r>
              <w:rPr>
                <w:rFonts w:ascii="仿宋_GB2312" w:hAnsi="仿宋_GB2312" w:cs="仿宋_GB2312" w:eastAsia="仿宋_GB2312"/>
                <w:sz w:val="24"/>
                <w:b/>
                <w:color w:val="000000"/>
                <w:shd w:fill="FFFF00" w:val="clear"/>
              </w:rPr>
              <w:t>五</w:t>
            </w:r>
            <w:r>
              <w:rPr>
                <w:rFonts w:ascii="仿宋_GB2312" w:hAnsi="仿宋_GB2312" w:cs="仿宋_GB2312" w:eastAsia="仿宋_GB2312"/>
                <w:sz w:val="24"/>
                <w:b/>
                <w:color w:val="000000"/>
                <w:shd w:fill="FFFF00" w:val="clear"/>
              </w:rPr>
              <w:t>、系统对接服务</w:t>
            </w:r>
          </w:p>
          <w:p>
            <w:pPr>
              <w:pStyle w:val="null3"/>
              <w:ind w:firstLine="480"/>
              <w:jc w:val="left"/>
            </w:pPr>
            <w:r>
              <w:rPr>
                <w:rFonts w:ascii="仿宋_GB2312" w:hAnsi="仿宋_GB2312" w:cs="仿宋_GB2312" w:eastAsia="仿宋_GB2312"/>
                <w:sz w:val="24"/>
                <w:color w:val="000000"/>
              </w:rPr>
              <w:t>提供公安移动警务数据通信安全加密数据无缝对接服务。按照采购人要求，对加密卡进行警员信息录入、更新、注销、迁移等制作服务，在此过程中造成损坏的加密卡由投标人负责无偿提供，以确保数据实现无缝对接，公安业务平稳运行。</w:t>
            </w:r>
          </w:p>
          <w:p>
            <w:pPr>
              <w:pStyle w:val="null3"/>
              <w:jc w:val="left"/>
            </w:pPr>
            <w:r>
              <w:rPr>
                <w:rFonts w:ascii="仿宋_GB2312" w:hAnsi="仿宋_GB2312" w:cs="仿宋_GB2312" w:eastAsia="仿宋_GB2312"/>
                <w:sz w:val="24"/>
                <w:b/>
                <w:color w:val="000000"/>
                <w:shd w:fill="FFFF00" w:val="clear"/>
              </w:rPr>
              <w:t>六、加密卡：</w:t>
            </w:r>
          </w:p>
          <w:p>
            <w:pPr>
              <w:pStyle w:val="null3"/>
              <w:jc w:val="left"/>
            </w:pPr>
            <w:r>
              <w:rPr>
                <w:rFonts w:ascii="仿宋_GB2312" w:hAnsi="仿宋_GB2312" w:cs="仿宋_GB2312" w:eastAsia="仿宋_GB2312"/>
                <w:sz w:val="24"/>
              </w:rPr>
              <w:t>基本要求：</w:t>
            </w:r>
          </w:p>
          <w:p>
            <w:pPr>
              <w:pStyle w:val="null3"/>
              <w:jc w:val="left"/>
            </w:pPr>
            <w:r>
              <w:rPr>
                <w:rFonts w:ascii="仿宋_GB2312" w:hAnsi="仿宋_GB2312" w:cs="仿宋_GB2312" w:eastAsia="仿宋_GB2312"/>
                <w:sz w:val="24"/>
              </w:rPr>
              <w:t>放置在</w:t>
            </w:r>
            <w:r>
              <w:rPr>
                <w:rFonts w:ascii="仿宋_GB2312" w:hAnsi="仿宋_GB2312" w:cs="仿宋_GB2312" w:eastAsia="仿宋_GB2312"/>
                <w:sz w:val="24"/>
              </w:rPr>
              <w:t>SIM卡上插入移动警务终端卡槽中，可为移动警务终端提供身份认证和信息加密服务，支持Nano SIM卡类型。</w:t>
            </w:r>
          </w:p>
          <w:p>
            <w:pPr>
              <w:pStyle w:val="null3"/>
              <w:jc w:val="left"/>
            </w:pPr>
            <w:r>
              <w:rPr>
                <w:rFonts w:ascii="仿宋_GB2312" w:hAnsi="仿宋_GB2312" w:cs="仿宋_GB2312" w:eastAsia="仿宋_GB2312"/>
                <w:sz w:val="24"/>
              </w:rPr>
              <w:t>功能要求：</w:t>
            </w:r>
          </w:p>
          <w:p>
            <w:pPr>
              <w:pStyle w:val="null3"/>
              <w:jc w:val="left"/>
            </w:pPr>
            <w:r>
              <w:rPr>
                <w:rFonts w:ascii="仿宋_GB2312" w:hAnsi="仿宋_GB2312" w:cs="仿宋_GB2312" w:eastAsia="仿宋_GB2312"/>
                <w:sz w:val="24"/>
              </w:rPr>
              <w:t>1）提供基于RSA-</w:t>
            </w:r>
            <w:r>
              <w:rPr>
                <w:rFonts w:ascii="仿宋_GB2312" w:hAnsi="仿宋_GB2312" w:cs="仿宋_GB2312" w:eastAsia="仿宋_GB2312"/>
                <w:sz w:val="24"/>
                <w:color w:val="000000"/>
              </w:rPr>
              <w:t>1024、RSA-2048、SM2-256的非对称密码算法的加密、解密、签名、验证功能。</w:t>
            </w:r>
          </w:p>
          <w:p>
            <w:pPr>
              <w:pStyle w:val="null3"/>
              <w:jc w:val="left"/>
            </w:pPr>
            <w:r>
              <w:rPr>
                <w:rFonts w:ascii="仿宋_GB2312" w:hAnsi="仿宋_GB2312" w:cs="仿宋_GB2312" w:eastAsia="仿宋_GB2312"/>
                <w:sz w:val="24"/>
                <w:color w:val="000000"/>
              </w:rPr>
              <w:t>2）提供基于SM1、SM4对称密码算法的加密、解密功能。</w:t>
            </w:r>
          </w:p>
          <w:p>
            <w:pPr>
              <w:pStyle w:val="null3"/>
              <w:jc w:val="left"/>
            </w:pPr>
            <w:r>
              <w:rPr>
                <w:rFonts w:ascii="仿宋_GB2312" w:hAnsi="仿宋_GB2312" w:cs="仿宋_GB2312" w:eastAsia="仿宋_GB2312"/>
                <w:sz w:val="24"/>
                <w:color w:val="000000"/>
              </w:rPr>
              <w:t>3）提供基于SHA1、SM3算法的杂凑功能。</w:t>
            </w:r>
          </w:p>
          <w:p>
            <w:pPr>
              <w:pStyle w:val="null3"/>
              <w:jc w:val="left"/>
            </w:pPr>
            <w:r>
              <w:rPr>
                <w:rFonts w:ascii="仿宋_GB2312" w:hAnsi="仿宋_GB2312" w:cs="仿宋_GB2312" w:eastAsia="仿宋_GB2312"/>
                <w:sz w:val="24"/>
                <w:color w:val="000000"/>
              </w:rPr>
              <w:t>4）提供随机数生成功能。</w:t>
            </w:r>
          </w:p>
          <w:p>
            <w:pPr>
              <w:pStyle w:val="null3"/>
              <w:jc w:val="left"/>
            </w:pPr>
            <w:r>
              <w:rPr>
                <w:rFonts w:ascii="仿宋_GB2312" w:hAnsi="仿宋_GB2312" w:cs="仿宋_GB2312" w:eastAsia="仿宋_GB2312"/>
                <w:sz w:val="24"/>
                <w:color w:val="000000"/>
              </w:rPr>
              <w:t>数量：</w:t>
            </w:r>
            <w:r>
              <w:rPr>
                <w:rFonts w:ascii="仿宋_GB2312" w:hAnsi="仿宋_GB2312" w:cs="仿宋_GB2312" w:eastAsia="仿宋_GB2312"/>
                <w:sz w:val="24"/>
                <w:color w:val="000000"/>
              </w:rPr>
              <w:t>47</w:t>
            </w:r>
          </w:p>
          <w:p>
            <w:pPr>
              <w:pStyle w:val="null3"/>
              <w:jc w:val="left"/>
            </w:pPr>
            <w:r>
              <w:rPr>
                <w:rFonts w:ascii="仿宋_GB2312" w:hAnsi="仿宋_GB2312" w:cs="仿宋_GB2312" w:eastAsia="仿宋_GB2312"/>
                <w:sz w:val="24"/>
                <w:b/>
                <w:color w:val="000000"/>
                <w:shd w:fill="FFFF00" w:val="clear"/>
              </w:rPr>
              <w:t>七、售后服务</w:t>
            </w:r>
          </w:p>
          <w:p>
            <w:pPr>
              <w:pStyle w:val="null3"/>
              <w:jc w:val="left"/>
            </w:pPr>
            <w:r>
              <w:rPr>
                <w:rFonts w:ascii="仿宋_GB2312" w:hAnsi="仿宋_GB2312" w:cs="仿宋_GB2312" w:eastAsia="仿宋_GB2312"/>
                <w:sz w:val="24"/>
                <w:color w:val="000000"/>
              </w:rPr>
              <w:t>1.培训服务。提供项目交付常规操作应用培训，不少于</w:t>
            </w:r>
            <w:r>
              <w:rPr>
                <w:rFonts w:ascii="仿宋_GB2312" w:hAnsi="仿宋_GB2312" w:cs="仿宋_GB2312" w:eastAsia="仿宋_GB2312"/>
                <w:sz w:val="24"/>
                <w:color w:val="000000"/>
              </w:rPr>
              <w:t>3</w:t>
            </w:r>
            <w:r>
              <w:rPr>
                <w:rFonts w:ascii="仿宋_GB2312" w:hAnsi="仿宋_GB2312" w:cs="仿宋_GB2312" w:eastAsia="仿宋_GB2312"/>
                <w:sz w:val="24"/>
                <w:color w:val="000000"/>
              </w:rPr>
              <w:t>次。</w:t>
            </w:r>
          </w:p>
          <w:p>
            <w:pPr>
              <w:pStyle w:val="null3"/>
              <w:jc w:val="left"/>
            </w:pPr>
            <w:r>
              <w:rPr>
                <w:rFonts w:ascii="仿宋_GB2312" w:hAnsi="仿宋_GB2312" w:cs="仿宋_GB2312" w:eastAsia="仿宋_GB2312"/>
                <w:sz w:val="24"/>
                <w:color w:val="000000"/>
              </w:rPr>
              <w:t>2.提供终端贴膜服务及终端保护套。</w:t>
            </w:r>
          </w:p>
          <w:p>
            <w:pPr>
              <w:pStyle w:val="null3"/>
              <w:jc w:val="both"/>
            </w:pPr>
            <w:r>
              <w:rPr>
                <w:rFonts w:ascii="仿宋_GB2312" w:hAnsi="仿宋_GB2312" w:cs="仿宋_GB2312" w:eastAsia="仿宋_GB2312"/>
                <w:sz w:val="24"/>
                <w:color w:val="000000"/>
              </w:rPr>
              <w:t>3.按照采购方需求提供定制彩铃服务。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现场派驻服务人员。派驻≥1人，在合同服务期间内派驻人员到采购人单位开展硬件维护、软件升级、日常运维管理等工作，派驻人员派驻期间接受采购单位日常管理。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所提供移动警务终端需满足采购需求。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(1)提供符合省公安厅要求的4G/5G等无线网络标准接入服务，移动警务终端需通过入选《陕西省公安机关移动警务终端适配目录》。 (2)提供符合公安部、省公安厅要求的终端安全监控组件服务。在服务期内警务通数据须适配和预装陕西省公安厅移动终端省厅指定软件，不可卸载。 (3)保障采购人提供的现有用户号码继续作为警务通号码保持不变服务。 (4)现场派驻服务。派驻≥1人，在合同服务期间内派驻人员到采购人单位开展硬件维护、软件升级、日常运维管理等工作，派驻人员派驻期间接受采购单位日常管理。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商洛市公安局高新区分局</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付要求：乙方必须按照投标文件列明的项目清单及技术参数进行交付，并在交付项目前由甲方对项目技术、功能、服务等进行确认后方可交付使用，对于不经确认或与招标文件要求和投标文件所报项目不相符的，甲方有权拒收，直至终止合同。乙方遇到可能妨碍按时交付项目的情况，应当及时以书面形式通知甲方，说明原由、拖延的期限等；甲方在收到通知后，尽快进行情况评估，并确定是否通过修改合同、酌情延长工期或者通过协商加收误期赔偿金等方式进行处理。 2、验收：以国家或者行业相应的标准和本合同规定进行验收。项目供货调试到位，达到使用条件时，由乙方出具验收申请，经甲方同意，由甲方根据需要组织乙方和有关技术专家组成验收小组对项目进行完工验收；验收合格的，交接项目实施的全部资料，并填写政府采购项目验收报告单。 3、交付期：自合同签订之日起30个日历天内完工并验收。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付款条件说明：合同签订后5日内，支付合同价款的30%；产品到货调试完成后5日内，支付合同价款的30%；项目验收合格后5日内，支付合同价款的37%；剩余3%作为质保金，在服务期满后5日内一次性支付</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按照相关法律法规规定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投标文件及电子版1份（投标文件可使用系统上传的签章版，电子版为U盘存储）。2.供应商应自响应文件递交截止时间起至开标结束，保持在线状态。3.投标保证金的递交截止时间为投标截止时间前 24 小时，逾期递交的投标保证金视为投标保证金递交无效。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技术要求偏离表.docx 商务要求偏离表.docx 中小企业声明函 残疾人福利性单位声明函 响应函 监狱企业的证明文件 磋商保证金交纳凭证.docx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主体资格合法有效</w:t>
            </w:r>
          </w:p>
        </w:tc>
        <w:tc>
          <w:tcPr>
            <w:tcW w:type="dxa" w:w="3322"/>
          </w:tcPr>
          <w:p>
            <w:pPr>
              <w:pStyle w:val="null3"/>
            </w:pPr>
            <w:r>
              <w:rPr>
                <w:rFonts w:ascii="仿宋_GB2312" w:hAnsi="仿宋_GB2312" w:cs="仿宋_GB2312" w:eastAsia="仿宋_GB2312"/>
              </w:rPr>
              <w:t>主体资格合法有效：供应商须在中华人民共和国境内注册，依法取得并有效存续的营业执照（或事业单位法人证书/民办非企业单位登记证书/非企业专业服务机构执业许可证等主体资格证书）。供应商须在项目电子化采购系统中提交主体资格证书（根据企业类型、性质选择其一）原件的扫描件，并完成电子签章。</w:t>
            </w:r>
          </w:p>
        </w:tc>
        <w:tc>
          <w:tcPr>
            <w:tcW w:type="dxa" w:w="1661"/>
          </w:tcPr>
          <w:p>
            <w:pPr>
              <w:pStyle w:val="null3"/>
            </w:pPr>
            <w:r>
              <w:rPr>
                <w:rFonts w:ascii="仿宋_GB2312" w:hAnsi="仿宋_GB2312" w:cs="仿宋_GB2312" w:eastAsia="仿宋_GB2312"/>
              </w:rPr>
              <w:t>供应商需要补充的其他资料.docx 政府采购活动前三年在经营活动中没有重大违法记录的书面声明.docx 供应商特定资格证明文件.docx 法定代表人身份证明.docx 企业关系关联承诺书.docx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具有良好的财务状况</w:t>
            </w:r>
          </w:p>
        </w:tc>
        <w:tc>
          <w:tcPr>
            <w:tcW w:type="dxa" w:w="3322"/>
          </w:tcPr>
          <w:p>
            <w:pPr>
              <w:pStyle w:val="null3"/>
            </w:pPr>
            <w:r>
              <w:rPr>
                <w:rFonts w:ascii="仿宋_GB2312" w:hAnsi="仿宋_GB2312" w:cs="仿宋_GB2312" w:eastAsia="仿宋_GB2312"/>
              </w:rPr>
              <w:t>具有良好的财务状况：：供应商须具有良好的财务状况，并须在项目电子化交易系统中提交具有良好财务状况的承诺函，且承诺财务状况良好，并完成电子签章。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具有良好的税收缴纳记录</w:t>
            </w:r>
          </w:p>
        </w:tc>
        <w:tc>
          <w:tcPr>
            <w:tcW w:type="dxa" w:w="3322"/>
          </w:tcPr>
          <w:p>
            <w:pPr>
              <w:pStyle w:val="null3"/>
            </w:pPr>
            <w:r>
              <w:rPr>
                <w:rFonts w:ascii="仿宋_GB2312" w:hAnsi="仿宋_GB2312" w:cs="仿宋_GB2312" w:eastAsia="仿宋_GB2312"/>
              </w:rPr>
              <w:t>具有良好的税收缴纳记录：供应商须具有良好的税收缴纳记录，并须在项目电子化交易系统中提交具有良好税收缴纳记录的承诺函，且承诺税收缴纳记录良好，并完成电子签章。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具有良好的社会保障资金缴纳记录</w:t>
            </w:r>
          </w:p>
        </w:tc>
        <w:tc>
          <w:tcPr>
            <w:tcW w:type="dxa" w:w="3322"/>
          </w:tcPr>
          <w:p>
            <w:pPr>
              <w:pStyle w:val="null3"/>
            </w:pPr>
            <w:r>
              <w:rPr>
                <w:rFonts w:ascii="仿宋_GB2312" w:hAnsi="仿宋_GB2312" w:cs="仿宋_GB2312" w:eastAsia="仿宋_GB2312"/>
              </w:rPr>
              <w:t>具有良好的社会保障资金缴纳记录：供应商须具有良好的社会保障资金缴纳记录，并须在项目电子化交易系统中提交具有良好的社会保障资金缴纳记录的承诺函，且承诺社会保障资金缴纳记录良好，并完成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近三年内在经营活动中无重大违法记录</w:t>
            </w:r>
          </w:p>
        </w:tc>
        <w:tc>
          <w:tcPr>
            <w:tcW w:type="dxa" w:w="3322"/>
          </w:tcPr>
          <w:p>
            <w:pPr>
              <w:pStyle w:val="null3"/>
            </w:pPr>
            <w:r>
              <w:rPr>
                <w:rFonts w:ascii="仿宋_GB2312" w:hAnsi="仿宋_GB2312" w:cs="仿宋_GB2312" w:eastAsia="仿宋_GB2312"/>
              </w:rPr>
              <w:t>近三年内在经营活动中无重大违法记录：供应商近三年内在经营活动中须无重大违法记录，并须在项目电子化交易系统中提交近三年内在经营活动中无重大违法记录声明函，且近三年内在经营活动中无重大违法记录，并完成电子签章。</w:t>
            </w:r>
          </w:p>
        </w:tc>
        <w:tc>
          <w:tcPr>
            <w:tcW w:type="dxa" w:w="1661"/>
          </w:tcPr>
          <w:p>
            <w:pPr>
              <w:pStyle w:val="null3"/>
            </w:pPr>
            <w:r>
              <w:rPr>
                <w:rFonts w:ascii="仿宋_GB2312" w:hAnsi="仿宋_GB2312" w:cs="仿宋_GB2312" w:eastAsia="仿宋_GB2312"/>
              </w:rPr>
              <w:t>政府采购活动前三年在经营活动中没有重大违法记录的书面声明.docx 供应商特定资格证明文件.docx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法定代表人（负责人）授权书合法有效</w:t>
            </w:r>
          </w:p>
        </w:tc>
        <w:tc>
          <w:tcPr>
            <w:tcW w:type="dxa" w:w="3322"/>
          </w:tcPr>
          <w:p>
            <w:pPr>
              <w:pStyle w:val="null3"/>
            </w:pPr>
            <w:r>
              <w:rPr>
                <w:rFonts w:ascii="仿宋_GB2312" w:hAnsi="仿宋_GB2312" w:cs="仿宋_GB2312" w:eastAsia="仿宋_GB2312"/>
              </w:rPr>
              <w:t>法定代表人（负责人）授权书合法有效：供应商法定代表人(负责人)授权书合法有效，法定代表人（负责人）直接参加投标的须提供本人身份证、法定代表人(负责人)身份证明书，法定代表人(负责人)授权代表参加投标的须提供法定代表人(负责人)授权书、被授权人身份证。供应商须在项目电子化交易系统中提交法定代表人(负责人)身份证、法定代表人(负责人)身份证明书或法定代表人(负责人)授权书、被授权人身份证原件的扫描件，并完成电子签章</w:t>
            </w:r>
          </w:p>
        </w:tc>
        <w:tc>
          <w:tcPr>
            <w:tcW w:type="dxa" w:w="1661"/>
          </w:tcPr>
          <w:p>
            <w:pPr>
              <w:pStyle w:val="null3"/>
            </w:pPr>
            <w:r>
              <w:rPr>
                <w:rFonts w:ascii="仿宋_GB2312" w:hAnsi="仿宋_GB2312" w:cs="仿宋_GB2312" w:eastAsia="仿宋_GB2312"/>
              </w:rPr>
              <w:t>供应商特定资格证明文件.docx 法定代表人身份证明.docx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单位负责人为同一人或者存在直接控股、管理关系的不同供应商，不得同时参加本项目同一合同项下政府采购活动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同一合同项下政府采购活动：单位负责人为同一人或者存在直接控股、管理关系的不同供应商，不得同时参加本项目同一合同项下政府采购活动。供应商须在项目电子化交易系统中提交“单位负责人为同一人或者存在直接控股、管理关系的不同供应商，不得同时参加本项目同一合同项下的政府采购活动的承诺书”原件的扫描件，并完成电子签章。</w:t>
            </w:r>
          </w:p>
        </w:tc>
        <w:tc>
          <w:tcPr>
            <w:tcW w:type="dxa" w:w="1661"/>
          </w:tcPr>
          <w:p>
            <w:pPr>
              <w:pStyle w:val="null3"/>
            </w:pPr>
            <w:r>
              <w:rPr>
                <w:rFonts w:ascii="仿宋_GB2312" w:hAnsi="仿宋_GB2312" w:cs="仿宋_GB2312" w:eastAsia="仿宋_GB2312"/>
              </w:rPr>
              <w:t>供应商特定资格证明文件.docx 供应商基本情况表.docx 企业关系关联承诺书.docx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非联合体不分包响应声明</w:t>
            </w:r>
          </w:p>
        </w:tc>
        <w:tc>
          <w:tcPr>
            <w:tcW w:type="dxa" w:w="3322"/>
          </w:tcPr>
          <w:p>
            <w:pPr>
              <w:pStyle w:val="null3"/>
            </w:pPr>
            <w:r>
              <w:rPr>
                <w:rFonts w:ascii="仿宋_GB2312" w:hAnsi="仿宋_GB2312" w:cs="仿宋_GB2312" w:eastAsia="仿宋_GB2312"/>
              </w:rPr>
              <w:t>非联合体不分包响应声明：本项目不接受联合体投标，供应商须以一个独立的法人实体参加投标。供应商须在项目电子化交易系统中提交“非联合体不分包投标声明函”原件的扫描件，并完成电子签章。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信用记录查询证明</w:t>
            </w:r>
          </w:p>
        </w:tc>
        <w:tc>
          <w:tcPr>
            <w:tcW w:type="dxa" w:w="3322"/>
          </w:tcPr>
          <w:p>
            <w:pPr>
              <w:pStyle w:val="null3"/>
            </w:pPr>
            <w:r>
              <w:rPr>
                <w:rFonts w:ascii="仿宋_GB2312" w:hAnsi="仿宋_GB2312" w:cs="仿宋_GB2312" w:eastAsia="仿宋_GB2312"/>
              </w:rPr>
              <w:t>信用记录查询证明：供应商未被信用中国网站（http://www.creditchina.gov.cn）列入信用记录失信被执行人、重大税收违法案件当事人名单，未被中国政府采购网（http://www.ccgp.gov.cn）列为政府采购严重违法失信行为记录名单、未被禁止参加政府采购活动。供应商须在项目电子化交易系统中提交在信用中国网站、中国政府采购网的信用记录查询截图（标注查询日期），并完成电子签章。</w:t>
            </w:r>
          </w:p>
        </w:tc>
        <w:tc>
          <w:tcPr>
            <w:tcW w:type="dxa" w:w="1661"/>
          </w:tcPr>
          <w:p>
            <w:pPr>
              <w:pStyle w:val="null3"/>
            </w:pPr>
            <w:r>
              <w:rPr>
                <w:rFonts w:ascii="仿宋_GB2312" w:hAnsi="仿宋_GB2312" w:cs="仿宋_GB2312" w:eastAsia="仿宋_GB2312"/>
              </w:rPr>
              <w:t>供应商特定资格证明文件.docx 供应商拒绝政府采购领域商业贿赂承诺书.docx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基础通信服务</w:t>
            </w:r>
          </w:p>
        </w:tc>
        <w:tc>
          <w:tcPr>
            <w:tcW w:type="dxa" w:w="2492"/>
          </w:tcPr>
          <w:p>
            <w:pPr>
              <w:pStyle w:val="null3"/>
            </w:pPr>
            <w:r>
              <w:rPr>
                <w:rFonts w:ascii="仿宋_GB2312" w:hAnsi="仿宋_GB2312" w:cs="仿宋_GB2312" w:eastAsia="仿宋_GB2312"/>
              </w:rPr>
              <w:t>基础通信服务符合项目功能需求，技术参数客观真实，并附相关佐证资料的得5分。技术参数和功能指标优于招标文件要求的，每优一项加1分，此项最多加5分。 技术参数和功能指标不能满足要求的本项不得分。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系统安全服务</w:t>
            </w:r>
          </w:p>
        </w:tc>
        <w:tc>
          <w:tcPr>
            <w:tcW w:type="dxa" w:w="2492"/>
          </w:tcPr>
          <w:p>
            <w:pPr>
              <w:pStyle w:val="null3"/>
            </w:pPr>
            <w:r>
              <w:rPr>
                <w:rFonts w:ascii="仿宋_GB2312" w:hAnsi="仿宋_GB2312" w:cs="仿宋_GB2312" w:eastAsia="仿宋_GB2312"/>
              </w:rPr>
              <w:t>符合项目功能需求，技术参数客观真实，安全可靠得5分，提供相关佐证资料的得5分，不满足功能需求或未提供相关佐证资料的本项不得分。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移动警务服务</w:t>
            </w:r>
          </w:p>
        </w:tc>
        <w:tc>
          <w:tcPr>
            <w:tcW w:type="dxa" w:w="2492"/>
          </w:tcPr>
          <w:p>
            <w:pPr>
              <w:pStyle w:val="null3"/>
            </w:pPr>
            <w:r>
              <w:rPr>
                <w:rFonts w:ascii="仿宋_GB2312" w:hAnsi="仿宋_GB2312" w:cs="仿宋_GB2312" w:eastAsia="仿宋_GB2312"/>
              </w:rPr>
              <w:t>提供的移动警务终端设备技术指标完全符合项目要求的得10分。若未完全响应，每有一项不满足要求扣1分，扣完为止。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系统对接服务</w:t>
            </w:r>
          </w:p>
        </w:tc>
        <w:tc>
          <w:tcPr>
            <w:tcW w:type="dxa" w:w="2492"/>
          </w:tcPr>
          <w:p>
            <w:pPr>
              <w:pStyle w:val="null3"/>
            </w:pPr>
            <w:r>
              <w:rPr>
                <w:rFonts w:ascii="仿宋_GB2312" w:hAnsi="仿宋_GB2312" w:cs="仿宋_GB2312" w:eastAsia="仿宋_GB2312"/>
              </w:rPr>
              <w:t>1.移动警务终端符合4G/5G等无线网络标准接入服务要求，且能够提供入选《陕西省公安机关单北斗智能手机型移动警务终端名录》证明资料的得1分； 2.提供移动终端安全监控组件服务，预装陕西省公安厅移动终端指定不可卸载软件截图的得2分； 3.提供公安移动警务数据通信安全加密数据无缝对接服务承诺的得2分； 4.提供现有用户号码继续作为终端号码保持不变服务承诺书的得2分。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项目实施方案，组织实施计划科学可行程度；分工情况、协调措施、具有完成项目的组织能力、财力、物力、人力保障，质量保证措施，内容完整等响应情况得0-15分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跟据拟派本次项目服务团队专业能力，经验丰富，工作任务分工情况得0-7分；同时提供相关证件资料，根据情况得0-5分。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项目团队人员配备情况表.docx</w:t>
            </w:r>
          </w:p>
        </w:tc>
      </w:tr>
      <w:tr>
        <w:tc>
          <w:tcPr>
            <w:tcW w:type="dxa" w:w="831"/>
            <w:vMerge/>
          </w:tcPr>
          <w:p/>
        </w:tc>
        <w:tc>
          <w:tcPr>
            <w:tcW w:type="dxa" w:w="1661"/>
          </w:tcPr>
          <w:p>
            <w:pPr>
              <w:pStyle w:val="null3"/>
            </w:pPr>
            <w:r>
              <w:rPr>
                <w:rFonts w:ascii="仿宋_GB2312" w:hAnsi="仿宋_GB2312" w:cs="仿宋_GB2312" w:eastAsia="仿宋_GB2312"/>
              </w:rPr>
              <w:t>业绩及信誉评价</w:t>
            </w:r>
          </w:p>
        </w:tc>
        <w:tc>
          <w:tcPr>
            <w:tcW w:type="dxa" w:w="2492"/>
          </w:tcPr>
          <w:p>
            <w:pPr>
              <w:pStyle w:val="null3"/>
            </w:pPr>
            <w:r>
              <w:rPr>
                <w:rFonts w:ascii="仿宋_GB2312" w:hAnsi="仿宋_GB2312" w:cs="仿宋_GB2312" w:eastAsia="仿宋_GB2312"/>
              </w:rPr>
              <w:t>提供类似项目业绩证明文件（合同），并提供驻场服务客户评价证明的，每提供1份得2分，此项最多得6分。未提供业绩证明文件、客户评价意见的，本项不得分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业绩证明材料.docx</w:t>
            </w:r>
          </w:p>
        </w:tc>
      </w:tr>
      <w:tr>
        <w:tc>
          <w:tcPr>
            <w:tcW w:type="dxa" w:w="831"/>
            <w:vMerge/>
          </w:tcPr>
          <w:p/>
        </w:tc>
        <w:tc>
          <w:tcPr>
            <w:tcW w:type="dxa" w:w="1661"/>
          </w:tcPr>
          <w:p>
            <w:pPr>
              <w:pStyle w:val="null3"/>
            </w:pPr>
            <w:r>
              <w:rPr>
                <w:rFonts w:ascii="仿宋_GB2312" w:hAnsi="仿宋_GB2312" w:cs="仿宋_GB2312" w:eastAsia="仿宋_GB2312"/>
              </w:rPr>
              <w:t>培训方案及计划</w:t>
            </w:r>
          </w:p>
        </w:tc>
        <w:tc>
          <w:tcPr>
            <w:tcW w:type="dxa" w:w="2492"/>
          </w:tcPr>
          <w:p>
            <w:pPr>
              <w:pStyle w:val="null3"/>
            </w:pPr>
            <w:r>
              <w:rPr>
                <w:rFonts w:ascii="仿宋_GB2312" w:hAnsi="仿宋_GB2312" w:cs="仿宋_GB2312" w:eastAsia="仿宋_GB2312"/>
              </w:rPr>
              <w:t>跟据供应商提供的培训方案及培训计划,培训内容及方式对本项目建设、管理、维护、使用等要求得0-8分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跟据供应商提供的售后服务方案的详细程度、针对性程度，备品备件及耗材情况得0-8分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商务方案</w:t>
            </w:r>
          </w:p>
        </w:tc>
        <w:tc>
          <w:tcPr>
            <w:tcW w:type="dxa" w:w="2492"/>
          </w:tcPr>
          <w:p>
            <w:pPr>
              <w:pStyle w:val="null3"/>
            </w:pPr>
            <w:r>
              <w:rPr>
                <w:rFonts w:ascii="仿宋_GB2312" w:hAnsi="仿宋_GB2312" w:cs="仿宋_GB2312" w:eastAsia="仿宋_GB2312"/>
              </w:rPr>
              <w:t>足商务合同条款要求的，得2分；商务方案优于招标文件要求的跟据响应情况得0-2分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最低有效的报价为基准价计100分。其他各供应商的报价按下列公式计算：（Y/X）×10＝Z，X＝投标价、Y＝基准价、Z＝报价得分。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详见附件：供应商基本情况表.docx</w:t>
      </w:r>
    </w:p>
    <w:p>
      <w:pPr>
        <w:pStyle w:val="null3"/>
        <w:ind w:firstLine="960"/>
      </w:pPr>
      <w:r>
        <w:rPr>
          <w:rFonts w:ascii="仿宋_GB2312" w:hAnsi="仿宋_GB2312" w:cs="仿宋_GB2312" w:eastAsia="仿宋_GB2312"/>
        </w:rPr>
        <w:t>详见附件：企业关系关联承诺书.docx</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详见附件：政府采购活动前三年在经营活动中没有重大违法记录的书面声明.docx</w:t>
      </w:r>
    </w:p>
    <w:p>
      <w:pPr>
        <w:pStyle w:val="null3"/>
        <w:ind w:firstLine="960"/>
      </w:pPr>
      <w:r>
        <w:rPr>
          <w:rFonts w:ascii="仿宋_GB2312" w:hAnsi="仿宋_GB2312" w:cs="仿宋_GB2312" w:eastAsia="仿宋_GB2312"/>
        </w:rPr>
        <w:t>详见附件：供应商需要补充的其他资料.docx</w:t>
      </w:r>
    </w:p>
    <w:p>
      <w:pPr>
        <w:pStyle w:val="null3"/>
        <w:ind w:firstLine="960"/>
      </w:pPr>
      <w:r>
        <w:rPr>
          <w:rFonts w:ascii="仿宋_GB2312" w:hAnsi="仿宋_GB2312" w:cs="仿宋_GB2312" w:eastAsia="仿宋_GB2312"/>
        </w:rPr>
        <w:t>详见附件：商务要求偏离表.docx</w:t>
      </w:r>
    </w:p>
    <w:p>
      <w:pPr>
        <w:pStyle w:val="null3"/>
        <w:ind w:firstLine="960"/>
      </w:pPr>
      <w:r>
        <w:rPr>
          <w:rFonts w:ascii="仿宋_GB2312" w:hAnsi="仿宋_GB2312" w:cs="仿宋_GB2312" w:eastAsia="仿宋_GB2312"/>
        </w:rPr>
        <w:t>详见附件：技术要求偏离表.docx</w:t>
      </w:r>
    </w:p>
    <w:p>
      <w:pPr>
        <w:pStyle w:val="null3"/>
        <w:ind w:firstLine="960"/>
      </w:pPr>
      <w:r>
        <w:rPr>
          <w:rFonts w:ascii="仿宋_GB2312" w:hAnsi="仿宋_GB2312" w:cs="仿宋_GB2312" w:eastAsia="仿宋_GB2312"/>
        </w:rPr>
        <w:t>详见附件：磋商保证金交纳凭证.docx</w:t>
      </w:r>
    </w:p>
    <w:p>
      <w:pPr>
        <w:pStyle w:val="null3"/>
        <w:ind w:firstLine="960"/>
      </w:pPr>
      <w:r>
        <w:rPr>
          <w:rFonts w:ascii="仿宋_GB2312" w:hAnsi="仿宋_GB2312" w:cs="仿宋_GB2312" w:eastAsia="仿宋_GB2312"/>
        </w:rPr>
        <w:t>详见附件：项目团队人员配备情况表.docx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详见附件：供应商特定资格证明文件.docx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