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版本号：SLCG-JZXCS〔2025〕22号20260120003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商洛公安局交通警察支队高交中队业务用房修缮项目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SLCG-JZXCS〔2025〕22号</w:t>
      </w:r>
      <w:r>
        <w:br/>
      </w:r>
      <w:r>
        <w:br/>
      </w:r>
      <w:r>
        <w:br/>
      </w:r>
    </w:p>
    <w:p>
      <w:pPr>
        <w:pStyle w:val="null3"/>
        <w:jc w:val="center"/>
        <w:outlineLvl w:val="2"/>
      </w:pPr>
      <w:r>
        <w:rPr>
          <w:rFonts w:ascii="仿宋_GB2312" w:hAnsi="仿宋_GB2312" w:cs="仿宋_GB2312" w:eastAsia="仿宋_GB2312"/>
          <w:sz w:val="28"/>
          <w:b/>
        </w:rPr>
        <w:t>商洛市公安局交通警察支队</w:t>
      </w:r>
    </w:p>
    <w:p>
      <w:pPr>
        <w:pStyle w:val="null3"/>
        <w:jc w:val="center"/>
        <w:outlineLvl w:val="2"/>
      </w:pPr>
      <w:r>
        <w:rPr>
          <w:rFonts w:ascii="仿宋_GB2312" w:hAnsi="仿宋_GB2312" w:cs="仿宋_GB2312" w:eastAsia="仿宋_GB2312"/>
          <w:sz w:val="28"/>
          <w:b/>
        </w:rPr>
        <w:t>商洛市政府采购中心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商洛市政府采购中心</w:t>
      </w:r>
      <w:r>
        <w:rPr>
          <w:rFonts w:ascii="仿宋_GB2312" w:hAnsi="仿宋_GB2312" w:cs="仿宋_GB2312" w:eastAsia="仿宋_GB2312"/>
        </w:rPr>
        <w:t>（以下简称“代理机构”）受</w:t>
      </w:r>
      <w:r>
        <w:rPr>
          <w:rFonts w:ascii="仿宋_GB2312" w:hAnsi="仿宋_GB2312" w:cs="仿宋_GB2312" w:eastAsia="仿宋_GB2312"/>
        </w:rPr>
        <w:t>商洛市公安局交通警察支队</w:t>
      </w:r>
      <w:r>
        <w:rPr>
          <w:rFonts w:ascii="仿宋_GB2312" w:hAnsi="仿宋_GB2312" w:cs="仿宋_GB2312" w:eastAsia="仿宋_GB2312"/>
        </w:rPr>
        <w:t>委托，拟对</w:t>
      </w:r>
      <w:r>
        <w:rPr>
          <w:rFonts w:ascii="仿宋_GB2312" w:hAnsi="仿宋_GB2312" w:cs="仿宋_GB2312" w:eastAsia="仿宋_GB2312"/>
        </w:rPr>
        <w:t>商洛公安局交通警察支队高交中队业务用房修缮项目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SLCG-JZXCS〔2025〕22号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商洛公安局交通警察支队高交中队业务用房修缮项目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公安局交通警察支队高交中队业务用房修缮项目是按照基层公安业务用房规范标准化要求，工程内容主要包括屋顶防水处理，外墙真石漆处理，内部装饰（主要包含警用灯箱、显示标识字、块料墙面、平面吊顶天棚、瓦屋面、金属纱窗、墙面乳胶漆），水电改造（场所及开关面板灯具），垃圾清运等。项目预算496,369.44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采购包1（商洛市公安局交通警察支队高教中队业务用房修缮项目）：属于专门面向小微企业采购。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合法有效：供应商须在中华人民共和国境内注册，依法取得并有效存续的营业执照（含电子营业执照）\事业单位法人证书\民办非企业单位登记证书\非企业专业服务机构执业许可证等主体资格证书。供应商须在陕西省政府采购电子化交易系统中提交营业执照等主体资格证书原件的扫描件，并进行电子签章。</w:t>
      </w:r>
    </w:p>
    <w:p>
      <w:pPr>
        <w:pStyle w:val="null3"/>
      </w:pPr>
      <w:r>
        <w:rPr>
          <w:rFonts w:ascii="仿宋_GB2312" w:hAnsi="仿宋_GB2312" w:cs="仿宋_GB2312" w:eastAsia="仿宋_GB2312"/>
        </w:rPr>
        <w:t>2、建筑资质证书：具有建筑工程施工总承包三级及以上资质证书（含电子证书），供应商须在陕西省政府采购电子化交易系统中提交建筑资质证书原件的扫描件，并进行电子签章。</w:t>
      </w:r>
    </w:p>
    <w:p>
      <w:pPr>
        <w:pStyle w:val="null3"/>
      </w:pPr>
      <w:r>
        <w:rPr>
          <w:rFonts w:ascii="仿宋_GB2312" w:hAnsi="仿宋_GB2312" w:cs="仿宋_GB2312" w:eastAsia="仿宋_GB2312"/>
        </w:rPr>
        <w:t>3、安全生产许可证：具有行业行政主管部门颁发的安全生产许可证（含电子证书），供应商须在陕西省政府采购电子化交易系统中提交资质证书原件的扫描件，并进行电子签章。</w:t>
      </w:r>
    </w:p>
    <w:p>
      <w:pPr>
        <w:pStyle w:val="null3"/>
      </w:pPr>
      <w:r>
        <w:rPr>
          <w:rFonts w:ascii="仿宋_GB2312" w:hAnsi="仿宋_GB2312" w:cs="仿宋_GB2312" w:eastAsia="仿宋_GB2312"/>
        </w:rPr>
        <w:t>4、项目负责人资质要求：项目负责人须具备合格有效的建筑工程专业二级以上建造师资质证书（含电子证书），有效的安全生产考核建安B证证书（含电子证书），并提供未同时担任其他在建工程的项目负责人承诺书。供应商须在陕西省政府采购电子化交易系统中提交项目负责人相关资质证书原件的扫描件，并进行电子签章。</w:t>
      </w:r>
    </w:p>
    <w:p>
      <w:pPr>
        <w:pStyle w:val="null3"/>
      </w:pPr>
      <w:r>
        <w:rPr>
          <w:rFonts w:ascii="仿宋_GB2312" w:hAnsi="仿宋_GB2312" w:cs="仿宋_GB2312" w:eastAsia="仿宋_GB2312"/>
        </w:rPr>
        <w:t>5、专业技术能力声明：供应商须具有履行本合同所必需的设备和专业技术能力。供应商须在陕西省政府采购电子化交易系统中提交“具有履行本合同所必需的设备和专业技术能力声明函”原件的扫描件，并进行电子签章。</w:t>
      </w:r>
    </w:p>
    <w:p>
      <w:pPr>
        <w:pStyle w:val="null3"/>
      </w:pPr>
      <w:r>
        <w:rPr>
          <w:rFonts w:ascii="仿宋_GB2312" w:hAnsi="仿宋_GB2312" w:cs="仿宋_GB2312" w:eastAsia="仿宋_GB2312"/>
        </w:rPr>
        <w:t>6、具有良好的财务状况：供应商须具有良好的财务状况。供应商须提供2024年度经审计的财务会计报告（成立时间至提交响应文件截止时间不足一年的可提供成立后任意时段的资产负债表），或提交响应文件截止时间前90日内其基本存款账户开户银行出具的资信证明（附基本存款账户信息）。供应商须在陕西省政府采购电子化交易系统中提交财务状况报告（两者任选其一）原件的扫描件，并进行电子签章。</w:t>
      </w:r>
    </w:p>
    <w:p>
      <w:pPr>
        <w:pStyle w:val="null3"/>
      </w:pPr>
      <w:r>
        <w:rPr>
          <w:rFonts w:ascii="仿宋_GB2312" w:hAnsi="仿宋_GB2312" w:cs="仿宋_GB2312" w:eastAsia="仿宋_GB2312"/>
        </w:rPr>
        <w:t>7、具有良好的税收缴纳记录：供应商须具有良好的税收缴纳记录。供应商须提供自2025年1月1日以来已缴纳的至少一个月的纳税证明或完税证明（税种为增值税或企业所得税，纳税证明或完税证明上须有代收机构或税务机关的公章或业务专用章，依法免税的供应商应提供相关文件证明）。 供应商须在陕西省政府采购电子化交易系统中提交税收缴纳证明原件的扫描件，并进行电子签章。</w:t>
      </w:r>
    </w:p>
    <w:p>
      <w:pPr>
        <w:pStyle w:val="null3"/>
      </w:pPr>
      <w:r>
        <w:rPr>
          <w:rFonts w:ascii="仿宋_GB2312" w:hAnsi="仿宋_GB2312" w:cs="仿宋_GB2312" w:eastAsia="仿宋_GB2312"/>
        </w:rPr>
        <w:t>8、具有良好的社会保障资金缴纳记录：供应商须具有良好的社会保障资金缴纳记录。供应商须提供自2025年1月1日以来已缴存的至少一个月的社会保障资金缴存单据或社保机构开具的社会保险参保缴费情况证明（缴费种类至少包含养老保险，单据或证明上须有社保机构或代收机构的公章或业务专用章，依法不需要缴纳社会保障资金的供应商应提供相关文件证明）。 供应商须在陕西省政府采购电子化交易系统中提交社会保障资金缴纳证明原件的扫描件，并进行电子签章。</w:t>
      </w:r>
    </w:p>
    <w:p>
      <w:pPr>
        <w:pStyle w:val="null3"/>
      </w:pPr>
      <w:r>
        <w:rPr>
          <w:rFonts w:ascii="仿宋_GB2312" w:hAnsi="仿宋_GB2312" w:cs="仿宋_GB2312" w:eastAsia="仿宋_GB2312"/>
        </w:rPr>
        <w:t>9、参加本次政府采购活动前三年内在经营活动中无重大违法记录：供应商参加本次政府采购活动前三年内在经营活动中须无重大违法记录。供应商须在陕西省政府采购电子化交易系统中提交“参加本次政府采购活动前三年内在经营活动中无重大违法记录声明函”原件的扫描件，并进行电子签章。</w:t>
      </w:r>
    </w:p>
    <w:p>
      <w:pPr>
        <w:pStyle w:val="null3"/>
      </w:pPr>
      <w:r>
        <w:rPr>
          <w:rFonts w:ascii="仿宋_GB2312" w:hAnsi="仿宋_GB2312" w:cs="仿宋_GB2312" w:eastAsia="仿宋_GB2312"/>
        </w:rPr>
        <w:t>10、信用记录声明及查询合法有效：供应商参加本次政府采购活动时未被信用中国网站（http://www.creditchina.gov.cn）列入信用记录失信被执行人、重大税收违法案件当事人名单，未被中国政府采购网（http://www.ccgp.gov.cn）列为政府采购严重违法失信行为记录名单、未被禁止参加政府采购活动。供应商须在陕西省政府采购电子化交易系统中提交“未被信用中国网站列入信用记录失信被执行人、重大税收违法案件当事人名单，未被中国政府采购网列为政府采购严重违法失信行为记录名单、未被禁止参加政府采购活动的声明函”原件的扫描件，并进行电子签章。</w:t>
      </w:r>
    </w:p>
    <w:p>
      <w:pPr>
        <w:pStyle w:val="null3"/>
      </w:pPr>
      <w:r>
        <w:rPr>
          <w:rFonts w:ascii="仿宋_GB2312" w:hAnsi="仿宋_GB2312" w:cs="仿宋_GB2312" w:eastAsia="仿宋_GB2312"/>
        </w:rPr>
        <w:t>11、控股关系承诺函合法有效：单位负责人为同一人或者存在直接控股、管理关系的不同供应商，不得同时参加本项目同一合同项下的政府采购活动。供应商须在陕西省政府采购电子化交易系统中提交“单位负责人为同一人或者存在直接控股、管理关系的不同供应商，不得同时参加本项目同一合同项下的政府采购活动的承诺函”原件的扫描件，并进行电子签章。</w:t>
      </w:r>
    </w:p>
    <w:p>
      <w:pPr>
        <w:pStyle w:val="null3"/>
      </w:pPr>
      <w:r>
        <w:rPr>
          <w:rFonts w:ascii="仿宋_GB2312" w:hAnsi="仿宋_GB2312" w:cs="仿宋_GB2312" w:eastAsia="仿宋_GB2312"/>
        </w:rPr>
        <w:t>12、非联合体不分包响应声明合法有效：本项目不接受联合体响应，供应商须以一个独立的法人实体参加响应。供应商须在陕西省政府采购电子化交易系统中提交“非联合体不分包响应声明函”原件的扫描件，并进行电子签章。</w:t>
      </w:r>
    </w:p>
    <w:p>
      <w:pPr>
        <w:pStyle w:val="null3"/>
      </w:pPr>
      <w:r>
        <w:rPr>
          <w:rFonts w:ascii="仿宋_GB2312" w:hAnsi="仿宋_GB2312" w:cs="仿宋_GB2312" w:eastAsia="仿宋_GB2312"/>
        </w:rPr>
        <w:t>13、法定代表人授权书委托合法有效：供应商法定代表人授权委托书须合法有效。法定代表人授权代表参加征集活动时，须提供法定代表人授权委托书和被授权人身份证。法定代表人亲自参加征集活动时，须提供法定代表人身份证明书及本人身份证。 供应商须在陕西省政府采购电子化交易系统中提交法定代表人授权委托书和被授权人身份证（或法定代表人身份证明书及本人身份证）原件的扫描件，并进行电子签章。</w:t>
      </w:r>
    </w:p>
    <w:p>
      <w:pPr>
        <w:pStyle w:val="null3"/>
      </w:pPr>
      <w:r>
        <w:rPr>
          <w:rFonts w:ascii="仿宋_GB2312" w:hAnsi="仿宋_GB2312" w:cs="仿宋_GB2312" w:eastAsia="仿宋_GB2312"/>
        </w:rPr>
        <w:t>14、中小企业声明函：本项目专门面向中小企业采购，供应商须在陕西省政府采购电子化交易系统中在线填写“中小企业声明函”，并进行电子签章。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商洛市商州区构峪口西800米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商洛市公安局交通警察支队经办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0914-2380777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陕西省商洛市商州区商州区工农路12号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0914-2318823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采购包1：496,369.44元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所用相关</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所用相关</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所用相关</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商洛市公安局交通警察支队</w:t>
      </w:r>
      <w:r>
        <w:rPr>
          <w:rFonts w:ascii="仿宋_GB2312" w:hAnsi="仿宋_GB2312" w:cs="仿宋_GB2312" w:eastAsia="仿宋_GB2312"/>
        </w:rPr>
        <w:t>和</w:t>
      </w:r>
      <w:r>
        <w:rPr>
          <w:rFonts w:ascii="仿宋_GB2312" w:hAnsi="仿宋_GB2312" w:cs="仿宋_GB2312" w:eastAsia="仿宋_GB2312"/>
        </w:rPr>
        <w:t>商洛市政府采购中心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商洛市公安局交通警察支队</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 号）、《政府采购需求管理办法》（财库〔2021〕22 号）的要求进行验收。 2、本项目在成交人通知服务履约完毕后进行验收。 3、验收依据包括但不限于合同文本、竞争性磋商文件、响应文件。 4、验收合格后，填写验收单，并向采购人提交所有资料，以便使用单位日后管理和维护。</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商洛市政府采购中心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商洛市政府采购中心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商洛市政府采购中心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联系人：王秀娟</w:t>
      </w:r>
    </w:p>
    <w:p>
      <w:pPr>
        <w:pStyle w:val="null3"/>
      </w:pPr>
      <w:r>
        <w:rPr>
          <w:rFonts w:ascii="仿宋_GB2312" w:hAnsi="仿宋_GB2312" w:cs="仿宋_GB2312" w:eastAsia="仿宋_GB2312"/>
        </w:rPr>
        <w:t>联系电话：0914-2318823</w:t>
      </w:r>
    </w:p>
    <w:p>
      <w:pPr>
        <w:pStyle w:val="null3"/>
      </w:pPr>
      <w:r>
        <w:rPr>
          <w:rFonts w:ascii="仿宋_GB2312" w:hAnsi="仿宋_GB2312" w:cs="仿宋_GB2312" w:eastAsia="仿宋_GB2312"/>
        </w:rPr>
        <w:t>地址：商洛市商州区工农路12号</w:t>
      </w:r>
    </w:p>
    <w:p>
      <w:pPr>
        <w:pStyle w:val="null3"/>
      </w:pPr>
      <w:r>
        <w:rPr>
          <w:rFonts w:ascii="仿宋_GB2312" w:hAnsi="仿宋_GB2312" w:cs="仿宋_GB2312" w:eastAsia="仿宋_GB2312"/>
        </w:rPr>
        <w:t>邮编：726000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联系人：惠福祥</w:t>
      </w:r>
    </w:p>
    <w:p>
      <w:pPr>
        <w:pStyle w:val="null3"/>
      </w:pPr>
      <w:r>
        <w:rPr>
          <w:rFonts w:ascii="仿宋_GB2312" w:hAnsi="仿宋_GB2312" w:cs="仿宋_GB2312" w:eastAsia="仿宋_GB2312"/>
        </w:rPr>
        <w:t>联系电话：0914-2380777</w:t>
      </w:r>
    </w:p>
    <w:p>
      <w:pPr>
        <w:pStyle w:val="null3"/>
      </w:pPr>
      <w:r>
        <w:rPr>
          <w:rFonts w:ascii="仿宋_GB2312" w:hAnsi="仿宋_GB2312" w:cs="仿宋_GB2312" w:eastAsia="仿宋_GB2312"/>
        </w:rPr>
        <w:t>地址：商洛市商州区北新街西段</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496,369.44</w:t>
      </w:r>
    </w:p>
    <w:p>
      <w:pPr>
        <w:pStyle w:val="null3"/>
      </w:pPr>
      <w:r>
        <w:rPr>
          <w:rFonts w:ascii="仿宋_GB2312" w:hAnsi="仿宋_GB2312" w:cs="仿宋_GB2312" w:eastAsia="仿宋_GB2312"/>
        </w:rPr>
        <w:t>采购包最高限价（元）: 496,369.44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商洛市公安局交通警察支队高交中队业务用房修缮项目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496,369.44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标的名称：商洛市公安局交通警察支队高交中队业务用房修缮项目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1"/>
                <w:b/>
                <w:color w:val="000000"/>
              </w:rPr>
              <w:t>工程量清单详见附件电子招标书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供应商针对本项目的其他技术服务要求，必须达到国家及行业现行技术规范标准。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（1）供应商在参加磋商时无需提交纸质响应文件。 2.在成交结果发布后，由成交供应商补交一套纸质响应文件用于备案，响应文件正本1份，副本2份，电子版文件2份（以U盘为载体，电子版内容包括word版本、签字盖章扫描后的PDF版本响应文件）。纸质响应文件均须A4纸打印，分别各自装订成册并编制目录和页码。 （2）纸质版响应文件需与陕西省政府采购电子化系统中响应文件内容一致。 （3）线下递交响应文件地点:商洛市商州区工农路12号，商洛财政办公楼613室。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供应商需在项目陕西省政府采购电子化交易系统中按要求填写《响应函》完成承诺并进行电子签章。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营业执照等主体资格证明合法有效</w:t>
            </w:r>
          </w:p>
        </w:tc>
        <w:tc>
          <w:tcPr>
            <w:tcW w:type="dxa" w:w="3322"/>
          </w:tcPr>
          <w:p>
            <w:pPr>
              <w:pStyle w:val="null3"/>
            </w:pPr>
            <w:r>
              <w:rPr>
                <w:rFonts w:ascii="仿宋_GB2312" w:hAnsi="仿宋_GB2312" w:cs="仿宋_GB2312" w:eastAsia="仿宋_GB2312"/>
              </w:rPr>
              <w:t>供应商须在中华人民共和国境内注册，依法取得并有效存续的营业执照（含电子营业执照）\事业单位法人证书\民办非企业单位登记证书\非企业专业服务机构执业许可证等主体资格证书。供应商须在陕西省政府采购电子化交易系统中提交营业执照等主体资格证书原件的扫描件，并进行电子签章。</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建筑资质证书</w:t>
            </w:r>
          </w:p>
        </w:tc>
        <w:tc>
          <w:tcPr>
            <w:tcW w:type="dxa" w:w="3322"/>
          </w:tcPr>
          <w:p>
            <w:pPr>
              <w:pStyle w:val="null3"/>
            </w:pPr>
            <w:r>
              <w:rPr>
                <w:rFonts w:ascii="仿宋_GB2312" w:hAnsi="仿宋_GB2312" w:cs="仿宋_GB2312" w:eastAsia="仿宋_GB2312"/>
              </w:rPr>
              <w:t>具有建筑工程施工总承包三级及以上资质证书（含电子证书），供应商须在陕西省政府采购电子化交易系统中提交建筑资质证书原件的扫描件，并进行电子签章。</w:t>
            </w:r>
          </w:p>
        </w:tc>
        <w:tc>
          <w:tcPr>
            <w:tcW w:type="dxa" w:w="1661"/>
          </w:tcPr>
          <w:p>
            <w:pPr>
              <w:pStyle w:val="null3"/>
            </w:pPr>
            <w:r>
              <w:rPr>
                <w:rFonts w:ascii="仿宋_GB2312" w:hAnsi="仿宋_GB2312" w:cs="仿宋_GB2312" w:eastAsia="仿宋_GB2312"/>
              </w:rPr>
              <w:t>建筑资质证书.docx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具有行业行政主管部门颁发的安全生产许可证（含电子证书），供应商须在陕西省政府采购电子化交易系统中提交资质证书原件的扫描件，并进行电子签章。</w:t>
            </w:r>
          </w:p>
        </w:tc>
        <w:tc>
          <w:tcPr>
            <w:tcW w:type="dxa" w:w="1661"/>
          </w:tcPr>
          <w:p>
            <w:pPr>
              <w:pStyle w:val="null3"/>
            </w:pPr>
            <w:r>
              <w:rPr>
                <w:rFonts w:ascii="仿宋_GB2312" w:hAnsi="仿宋_GB2312" w:cs="仿宋_GB2312" w:eastAsia="仿宋_GB2312"/>
              </w:rPr>
              <w:t>安全生产许可证.docx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项目负责人须具备合格有效的建筑工程专业二级以上建造师资质证书（含电子证书），有效的安全生产考核建安B证证书（含电子证书），并提供未同时担任其他在建工程的项目负责人承诺书。供应商须在陕西省政府采购电子化交易系统中提交项目负责人相关资质证书原件的扫描件，并进行电子签章。</w:t>
            </w:r>
          </w:p>
        </w:tc>
        <w:tc>
          <w:tcPr>
            <w:tcW w:type="dxa" w:w="1661"/>
          </w:tcPr>
          <w:p>
            <w:pPr>
              <w:pStyle w:val="null3"/>
            </w:pPr>
            <w:r>
              <w:rPr>
                <w:rFonts w:ascii="仿宋_GB2312" w:hAnsi="仿宋_GB2312" w:cs="仿宋_GB2312" w:eastAsia="仿宋_GB2312"/>
              </w:rPr>
              <w:t>项目负责人资质要求.docx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专业技术能力声明</w:t>
            </w:r>
          </w:p>
        </w:tc>
        <w:tc>
          <w:tcPr>
            <w:tcW w:type="dxa" w:w="3322"/>
          </w:tcPr>
          <w:p>
            <w:pPr>
              <w:pStyle w:val="null3"/>
            </w:pPr>
            <w:r>
              <w:rPr>
                <w:rFonts w:ascii="仿宋_GB2312" w:hAnsi="仿宋_GB2312" w:cs="仿宋_GB2312" w:eastAsia="仿宋_GB2312"/>
              </w:rPr>
              <w:t>供应商须具有履行本合同所必需的设备和专业技术能力。供应商须在陕西省政府采购电子化交易系统中提交“具有履行本合同所必需的设备和专业技术能力声明函”原件的扫描件，并进行电子签章。</w:t>
            </w:r>
          </w:p>
        </w:tc>
        <w:tc>
          <w:tcPr>
            <w:tcW w:type="dxa" w:w="1661"/>
          </w:tcPr>
          <w:p>
            <w:pPr>
              <w:pStyle w:val="null3"/>
            </w:pPr>
            <w:r>
              <w:rPr>
                <w:rFonts w:ascii="仿宋_GB2312" w:hAnsi="仿宋_GB2312" w:cs="仿宋_GB2312" w:eastAsia="仿宋_GB2312"/>
              </w:rPr>
              <w:t>专业技术能力声明.docx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供应商须具有良好的财务状况。供应商须提供2024年度经审计的财务会计报告（成立时间至提交响应文件截止时间不足一年的可提供成立后任意时段的资产负债表），或提交响应文件截止时间前90日内其基本存款账户开户银行出具的资信证明（附基本存款账户信息）。供应商须在陕西省政府采购电子化交易系统中提交财务状况报告（两者任选其一）原件的扫描件，并进行电子签章。</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具有良好的税收缴纳记录</w:t>
            </w:r>
          </w:p>
        </w:tc>
        <w:tc>
          <w:tcPr>
            <w:tcW w:type="dxa" w:w="3322"/>
          </w:tcPr>
          <w:p>
            <w:pPr>
              <w:pStyle w:val="null3"/>
            </w:pPr>
            <w:r>
              <w:rPr>
                <w:rFonts w:ascii="仿宋_GB2312" w:hAnsi="仿宋_GB2312" w:cs="仿宋_GB2312" w:eastAsia="仿宋_GB2312"/>
              </w:rPr>
              <w:t>供应商须具有良好的税收缴纳记录。供应商须提供自2025年1月1日以来已缴纳的至少一个月的纳税证明或完税证明（税种为增值税或企业所得税，纳税证明或完税证明上须有代收机构或税务机关的公章或业务专用章，依法免税的供应商应提供相关文件证明）。 供应商须在陕西省政府采购电子化交易系统中提交税收缴纳证明原件的扫描件，并进行电子签章。</w:t>
            </w:r>
          </w:p>
        </w:tc>
        <w:tc>
          <w:tcPr>
            <w:tcW w:type="dxa" w:w="1661"/>
          </w:tcPr>
          <w:p>
            <w:pPr>
              <w:pStyle w:val="null3"/>
            </w:pPr>
            <w:r>
              <w:rPr>
                <w:rFonts w:ascii="仿宋_GB2312" w:hAnsi="仿宋_GB2312" w:cs="仿宋_GB2312" w:eastAsia="仿宋_GB2312"/>
              </w:rPr>
              <w:t>响应函 税收缴纳记录证明文件.docx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具有良好的社会保障资金缴纳记录</w:t>
            </w:r>
          </w:p>
        </w:tc>
        <w:tc>
          <w:tcPr>
            <w:tcW w:type="dxa" w:w="3322"/>
          </w:tcPr>
          <w:p>
            <w:pPr>
              <w:pStyle w:val="null3"/>
            </w:pPr>
            <w:r>
              <w:rPr>
                <w:rFonts w:ascii="仿宋_GB2312" w:hAnsi="仿宋_GB2312" w:cs="仿宋_GB2312" w:eastAsia="仿宋_GB2312"/>
              </w:rPr>
              <w:t>供应商须具有良好的社会保障资金缴纳记录。供应商须提供自2025年1月1日以来已缴存的至少一个月的社会保障资金缴存单据或社保机构开具的社会保险参保缴费情况证明（缴费种类至少包含养老保险，单据或证明上须有社保机构或代收机构的公章或业务专用章，依法不需要缴纳社会保障资金的供应商应提供相关文件证明）。 供应商须在陕西省政府采购电子化交易系统中提交社会保障资金缴纳证明原件的扫描件，并进行电子签章。</w:t>
            </w:r>
          </w:p>
        </w:tc>
        <w:tc>
          <w:tcPr>
            <w:tcW w:type="dxa" w:w="1661"/>
          </w:tcPr>
          <w:p>
            <w:pPr>
              <w:pStyle w:val="null3"/>
            </w:pPr>
            <w:r>
              <w:rPr>
                <w:rFonts w:ascii="仿宋_GB2312" w:hAnsi="仿宋_GB2312" w:cs="仿宋_GB2312" w:eastAsia="仿宋_GB2312"/>
              </w:rPr>
              <w:t>社会保障资金缴纳记录证明文件.docx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参加本次政府采购活动前三年内在经营活动中无重大违法记录</w:t>
            </w:r>
          </w:p>
        </w:tc>
        <w:tc>
          <w:tcPr>
            <w:tcW w:type="dxa" w:w="3322"/>
          </w:tcPr>
          <w:p>
            <w:pPr>
              <w:pStyle w:val="null3"/>
            </w:pPr>
            <w:r>
              <w:rPr>
                <w:rFonts w:ascii="仿宋_GB2312" w:hAnsi="仿宋_GB2312" w:cs="仿宋_GB2312" w:eastAsia="仿宋_GB2312"/>
              </w:rPr>
              <w:t>供应商参加本次政府采购活动前三年内在经营活动中须无重大违法记录。供应商须在陕西省政府采购电子化交易系统中提交“参加本次政府采购活动前三年内在经营活动中无重大违法记录声明函”原件的扫描件，并进行电子签章。</w:t>
            </w:r>
          </w:p>
        </w:tc>
        <w:tc>
          <w:tcPr>
            <w:tcW w:type="dxa" w:w="1661"/>
          </w:tcPr>
          <w:p>
            <w:pPr>
              <w:pStyle w:val="null3"/>
            </w:pPr>
            <w:r>
              <w:rPr>
                <w:rFonts w:ascii="仿宋_GB2312" w:hAnsi="仿宋_GB2312" w:cs="仿宋_GB2312" w:eastAsia="仿宋_GB2312"/>
              </w:rPr>
              <w:t>无重大违法记录声明函.docx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信用记录声明及查询合法有效</w:t>
            </w:r>
          </w:p>
        </w:tc>
        <w:tc>
          <w:tcPr>
            <w:tcW w:type="dxa" w:w="3322"/>
          </w:tcPr>
          <w:p>
            <w:pPr>
              <w:pStyle w:val="null3"/>
            </w:pPr>
            <w:r>
              <w:rPr>
                <w:rFonts w:ascii="仿宋_GB2312" w:hAnsi="仿宋_GB2312" w:cs="仿宋_GB2312" w:eastAsia="仿宋_GB2312"/>
              </w:rPr>
              <w:t>供应商参加本次政府采购活动时未被信用中国网站（http://www.creditchina.gov.cn）列入信用记录失信被执行人、重大税收违法案件当事人名单，未被中国政府采购网（http://www.ccgp.gov.cn）列为政府采购严重违法失信行为记录名单、未被禁止参加政府采购活动。供应商须在陕西省政府采购电子化交易系统中提交“未被信用中国网站列入信用记录失信被执行人、重大税收违法案件当事人名单，未被中国政府采购网列为政府采购严重违法失信行为记录名单、未被禁止参加政府采购活动的声明函”原件的扫描件，并进行电子签章。</w:t>
            </w:r>
          </w:p>
        </w:tc>
        <w:tc>
          <w:tcPr>
            <w:tcW w:type="dxa" w:w="1661"/>
          </w:tcPr>
          <w:p>
            <w:pPr>
              <w:pStyle w:val="null3"/>
            </w:pPr>
            <w:r>
              <w:rPr>
                <w:rFonts w:ascii="仿宋_GB2312" w:hAnsi="仿宋_GB2312" w:cs="仿宋_GB2312" w:eastAsia="仿宋_GB2312"/>
              </w:rPr>
              <w:t>信用记录声明及查询证明材料.docx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控股关系承诺函合法有效</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的政府采购活动。供应商须在陕西省政府采购电子化交易系统中提交“单位负责人为同一人或者存在直接控股、管理关系的不同供应商，不得同时参加本项目同一合同项下的政府采购活动的承诺函”原件的扫描件，并进行电子签章。</w:t>
            </w:r>
          </w:p>
        </w:tc>
        <w:tc>
          <w:tcPr>
            <w:tcW w:type="dxa" w:w="1661"/>
          </w:tcPr>
          <w:p>
            <w:pPr>
              <w:pStyle w:val="null3"/>
            </w:pPr>
            <w:r>
              <w:rPr>
                <w:rFonts w:ascii="仿宋_GB2312" w:hAnsi="仿宋_GB2312" w:cs="仿宋_GB2312" w:eastAsia="仿宋_GB2312"/>
              </w:rPr>
              <w:t>控股关系承诺函.docx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非联合体不分包响应声明合法有效</w:t>
            </w:r>
          </w:p>
        </w:tc>
        <w:tc>
          <w:tcPr>
            <w:tcW w:type="dxa" w:w="3322"/>
          </w:tcPr>
          <w:p>
            <w:pPr>
              <w:pStyle w:val="null3"/>
            </w:pPr>
            <w:r>
              <w:rPr>
                <w:rFonts w:ascii="仿宋_GB2312" w:hAnsi="仿宋_GB2312" w:cs="仿宋_GB2312" w:eastAsia="仿宋_GB2312"/>
              </w:rPr>
              <w:t>本项目不接受联合体响应，供应商须以一个独立的法人实体参加响应。供应商须在陕西省政府采购电子化交易系统中提交“非联合体不分包响应声明函”原件的扫描件，并进行电子签章。</w:t>
            </w:r>
          </w:p>
        </w:tc>
        <w:tc>
          <w:tcPr>
            <w:tcW w:type="dxa" w:w="1661"/>
          </w:tcPr>
          <w:p>
            <w:pPr>
              <w:pStyle w:val="null3"/>
            </w:pPr>
            <w:r>
              <w:rPr>
                <w:rFonts w:ascii="仿宋_GB2312" w:hAnsi="仿宋_GB2312" w:cs="仿宋_GB2312" w:eastAsia="仿宋_GB2312"/>
              </w:rPr>
              <w:t>非联合体不分包响应声明函.docx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法定代表人授权书委托合法有效</w:t>
            </w:r>
          </w:p>
        </w:tc>
        <w:tc>
          <w:tcPr>
            <w:tcW w:type="dxa" w:w="3322"/>
          </w:tcPr>
          <w:p>
            <w:pPr>
              <w:pStyle w:val="null3"/>
            </w:pPr>
            <w:r>
              <w:rPr>
                <w:rFonts w:ascii="仿宋_GB2312" w:hAnsi="仿宋_GB2312" w:cs="仿宋_GB2312" w:eastAsia="仿宋_GB2312"/>
              </w:rPr>
              <w:t>供应商法定代表人授权委托书须合法有效。法定代表人授权代表参加征集活动时，须提供法定代表人授权委托书和被授权人身份证。法定代表人亲自参加征集活动时，须提供法定代表人身份证明书及本人身份证。 供应商须在陕西省政府采购电子化交易系统中提交法定代表人授权委托书和被授权人身份证（或法定代表人身份证明书及本人身份证）原件的扫描件，并进行电子签章。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本项目专门面向中小企业采购，供应商须在陕西省政府采购电子化交易系统中在线填写“中小企业声明函”，并进行电子签章。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磋商响应报价表.docx 已标价工程量清单 主要材料价格表.docx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响应文件的签字、盖章及有效期。</w:t>
            </w:r>
          </w:p>
        </w:tc>
        <w:tc>
          <w:tcPr>
            <w:tcW w:type="dxa" w:w="3322"/>
          </w:tcPr>
          <w:p>
            <w:pPr>
              <w:pStyle w:val="null3"/>
            </w:pPr>
            <w:r>
              <w:rPr>
                <w:rFonts w:ascii="仿宋_GB2312" w:hAnsi="仿宋_GB2312" w:cs="仿宋_GB2312" w:eastAsia="仿宋_GB2312"/>
              </w:rPr>
              <w:t>响应文件中的签字、盖章必须齐全、完整，响应函上须明确标明响应文件的有效期。响应文件签字、盖章不完整，有效期不符合要求的，符合性审查不予通过。</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响应报价不得超过项目预算价，否则符合性审查不予通过。</w:t>
            </w:r>
          </w:p>
        </w:tc>
        <w:tc>
          <w:tcPr>
            <w:tcW w:type="dxa" w:w="1661"/>
          </w:tcPr>
          <w:p>
            <w:pPr>
              <w:pStyle w:val="null3"/>
            </w:pPr>
            <w:r>
              <w:rPr>
                <w:rFonts w:ascii="仿宋_GB2312" w:hAnsi="仿宋_GB2312" w:cs="仿宋_GB2312" w:eastAsia="仿宋_GB2312"/>
              </w:rPr>
              <w:t>磋商响应报价表.docx 已标价工程量清单 主要材料价格表.docx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技术响应方案</w:t>
            </w:r>
          </w:p>
        </w:tc>
        <w:tc>
          <w:tcPr>
            <w:tcW w:type="dxa" w:w="3322"/>
          </w:tcPr>
          <w:p>
            <w:pPr>
              <w:pStyle w:val="null3"/>
            </w:pPr>
            <w:r>
              <w:rPr>
                <w:rFonts w:ascii="仿宋_GB2312" w:hAnsi="仿宋_GB2312" w:cs="仿宋_GB2312" w:eastAsia="仿宋_GB2312"/>
              </w:rPr>
              <w:t>磋商响应文件中的工程质量等技术响应方案是否符合磋商文件要求，是否有重大负偏离。</w:t>
            </w:r>
          </w:p>
        </w:tc>
        <w:tc>
          <w:tcPr>
            <w:tcW w:type="dxa" w:w="1661"/>
          </w:tcPr>
          <w:p>
            <w:pPr>
              <w:pStyle w:val="null3"/>
            </w:pPr>
            <w:r>
              <w:rPr>
                <w:rFonts w:ascii="仿宋_GB2312" w:hAnsi="仿宋_GB2312" w:cs="仿宋_GB2312" w:eastAsia="仿宋_GB2312"/>
              </w:rPr>
              <w:t>工程预算及技术响应方案.docx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商务响应方案</w:t>
            </w:r>
          </w:p>
        </w:tc>
        <w:tc>
          <w:tcPr>
            <w:tcW w:type="dxa" w:w="3322"/>
          </w:tcPr>
          <w:p>
            <w:pPr>
              <w:pStyle w:val="null3"/>
            </w:pPr>
            <w:r>
              <w:rPr>
                <w:rFonts w:ascii="仿宋_GB2312" w:hAnsi="仿宋_GB2312" w:cs="仿宋_GB2312" w:eastAsia="仿宋_GB2312"/>
              </w:rPr>
              <w:t>磋商响应文件中的工期等商务响应方案是否符合磋商文件要求，是否有重大负偏离。</w:t>
            </w:r>
          </w:p>
        </w:tc>
        <w:tc>
          <w:tcPr>
            <w:tcW w:type="dxa" w:w="1661"/>
          </w:tcPr>
          <w:p>
            <w:pPr>
              <w:pStyle w:val="null3"/>
            </w:pPr>
            <w:r>
              <w:rPr>
                <w:rFonts w:ascii="仿宋_GB2312" w:hAnsi="仿宋_GB2312" w:cs="仿宋_GB2312" w:eastAsia="仿宋_GB2312"/>
              </w:rPr>
              <w:t>商务响应方案.docx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供应商须按要求完成相关承诺，为进行相关承诺的，符合性审查不予通过。</w:t>
            </w:r>
          </w:p>
        </w:tc>
        <w:tc>
          <w:tcPr>
            <w:tcW w:type="dxa" w:w="1661"/>
          </w:tcPr>
          <w:p>
            <w:pPr>
              <w:pStyle w:val="null3"/>
            </w:pPr>
            <w:r>
              <w:rPr>
                <w:rFonts w:ascii="仿宋_GB2312" w:hAnsi="仿宋_GB2312" w:cs="仿宋_GB2312" w:eastAsia="仿宋_GB2312"/>
              </w:rPr>
              <w:t>供应商承诺书（一）.docx 供应商承诺书（二）.docx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工程预算及技术响应方案</w:t>
            </w:r>
          </w:p>
        </w:tc>
        <w:tc>
          <w:tcPr>
            <w:tcW w:type="dxa" w:w="2492"/>
          </w:tcPr>
          <w:p>
            <w:pPr>
              <w:pStyle w:val="null3"/>
            </w:pPr>
            <w:r>
              <w:rPr>
                <w:rFonts w:ascii="仿宋_GB2312" w:hAnsi="仿宋_GB2312" w:cs="仿宋_GB2312" w:eastAsia="仿宋_GB2312"/>
              </w:rPr>
              <w:t>所用材料清单品目完整，得2分，不完整不计分。所用材料主要包括但不限于灯具、门、五金、涂料、粘接剂、墙面材料、地面材料等；所用材料规格型号及技术参数符合本项目要求的得5分。所用材料提供国家相关部门合法认定证书或产品质量检测报告，且报告结果为合格等级以上的，每提供一种加1分，此项最多加4分。所用材料为节能环保产品，并能够提供合法有效的进货渠道证明文件的，每提供一种加1分，此项最多加6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工程预算及技术响应方案.docx</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项目组织结构、专业作业队配置齐全得3；项目部关键岗位人员配备齐全的加1分；拟派人员数量和结构合理，且人员资格证书符合要求的加1分，本项最多加2分。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项目组织响应方案.docx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施工进度计划和各阶段进度保证措施的得3分，施工进度计划和各阶段进度的保证措施有力、具体可行每项加1分，本项最多加2分。有安全文明施工及环境保护措施方案的得3分；安全文明施工及环境保护措施体系完备、保护措施具体可行的，每项加1分，本项最多加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工程施工方案.docx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施工机械和设备投入满足施工需要的得2分。施工机械和设备先进，投入充足的，每项加1分，本项最多加1分。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设备投入.docx</w:t>
            </w:r>
          </w:p>
        </w:tc>
      </w:tr>
      <w:tr>
        <w:tc>
          <w:tcPr>
            <w:tcW w:type="dxa" w:w="831"/>
            <w:vMerge/>
          </w:tcPr>
          <w:p/>
        </w:tc>
        <w:tc>
          <w:tcPr>
            <w:tcW w:type="dxa" w:w="1661"/>
          </w:tcPr>
          <w:p>
            <w:pPr>
              <w:pStyle w:val="null3"/>
            </w:pPr>
            <w:r>
              <w:rPr>
                <w:rFonts w:ascii="仿宋_GB2312" w:hAnsi="仿宋_GB2312" w:cs="仿宋_GB2312" w:eastAsia="仿宋_GB2312"/>
              </w:rPr>
              <w:t>重、难点解决方案</w:t>
            </w:r>
          </w:p>
        </w:tc>
        <w:tc>
          <w:tcPr>
            <w:tcW w:type="dxa" w:w="2492"/>
          </w:tcPr>
          <w:p>
            <w:pPr>
              <w:pStyle w:val="null3"/>
            </w:pPr>
            <w:r>
              <w:rPr>
                <w:rFonts w:ascii="仿宋_GB2312" w:hAnsi="仿宋_GB2312" w:cs="仿宋_GB2312" w:eastAsia="仿宋_GB2312"/>
              </w:rPr>
              <w:t>有关键施工技术、工艺及工程项目实施的重点、难点和解决方案的得5分；关键施工技术、工艺及工程项目实施的重点、难点和解决方案完全满足施工需要、保证措施具体的，每项加1分，本项最多加3分。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重难点解决方案.docx</w:t>
            </w:r>
          </w:p>
        </w:tc>
      </w:tr>
      <w:tr>
        <w:tc>
          <w:tcPr>
            <w:tcW w:type="dxa" w:w="831"/>
            <w:vMerge/>
          </w:tcPr>
          <w:p/>
        </w:tc>
        <w:tc>
          <w:tcPr>
            <w:tcW w:type="dxa" w:w="1661"/>
          </w:tcPr>
          <w:p>
            <w:pPr>
              <w:pStyle w:val="null3"/>
            </w:pPr>
            <w:r>
              <w:rPr>
                <w:rFonts w:ascii="仿宋_GB2312" w:hAnsi="仿宋_GB2312" w:cs="仿宋_GB2312" w:eastAsia="仿宋_GB2312"/>
              </w:rPr>
              <w:t>特殊天气应对措施</w:t>
            </w:r>
          </w:p>
        </w:tc>
        <w:tc>
          <w:tcPr>
            <w:tcW w:type="dxa" w:w="2492"/>
          </w:tcPr>
          <w:p>
            <w:pPr>
              <w:pStyle w:val="null3"/>
            </w:pPr>
            <w:r>
              <w:rPr>
                <w:rFonts w:ascii="仿宋_GB2312" w:hAnsi="仿宋_GB2312" w:cs="仿宋_GB2312" w:eastAsia="仿宋_GB2312"/>
              </w:rPr>
              <w:t>雨雪、霜冻等特殊天气施工，制定有相应的施工方案和保护措施的得2；方案和措施具体可行的，每项加1分，本项最多加1分。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特殊天气应对措施.docx</w:t>
            </w:r>
          </w:p>
        </w:tc>
      </w:tr>
      <w:tr>
        <w:tc>
          <w:tcPr>
            <w:tcW w:type="dxa" w:w="831"/>
            <w:vMerge/>
          </w:tcPr>
          <w:p/>
        </w:tc>
        <w:tc>
          <w:tcPr>
            <w:tcW w:type="dxa" w:w="1661"/>
          </w:tcPr>
          <w:p>
            <w:pPr>
              <w:pStyle w:val="null3"/>
            </w:pPr>
            <w:r>
              <w:rPr>
                <w:rFonts w:ascii="仿宋_GB2312" w:hAnsi="仿宋_GB2312" w:cs="仿宋_GB2312" w:eastAsia="仿宋_GB2312"/>
              </w:rPr>
              <w:t>业绩证明文件</w:t>
            </w:r>
          </w:p>
        </w:tc>
        <w:tc>
          <w:tcPr>
            <w:tcW w:type="dxa" w:w="2492"/>
          </w:tcPr>
          <w:p>
            <w:pPr>
              <w:pStyle w:val="null3"/>
            </w:pPr>
            <w:r>
              <w:rPr>
                <w:rFonts w:ascii="仿宋_GB2312" w:hAnsi="仿宋_GB2312" w:cs="仿宋_GB2312" w:eastAsia="仿宋_GB2312"/>
              </w:rPr>
              <w:t>提供2023年1月以来类似项目业绩证明材料（采购合同、验收报告及与合同对应的款项结算凭据原件），每提供1个得3分，本项最高得6分，未提供的本项不得分。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售后服务方案详细、具体、有针对性，售后服务体系完善的得2分，配备专职维修服务人员，承诺维修服务具体时限与优惠的每项加1分，本项最多加1分。无售后服务方案的本项不得分。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商务响应方案满足合同主要条款要求的，得3分；附有条款详细说明的，每项加1分，本项最多加2分。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最低有效磋商价为基准价，计40分。其他各供应商的价格得分按下列公式计算:(Y/X)*40=Z，X=磋商价格，Y=基准价，Z=价格得分。磋商价格不符合要求的，得0分。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详见附件：建筑资质证书.docx</w:t>
      </w:r>
    </w:p>
    <w:p>
      <w:pPr>
        <w:pStyle w:val="null3"/>
        <w:ind w:firstLine="960"/>
      </w:pPr>
      <w:r>
        <w:rPr>
          <w:rFonts w:ascii="仿宋_GB2312" w:hAnsi="仿宋_GB2312" w:cs="仿宋_GB2312" w:eastAsia="仿宋_GB2312"/>
        </w:rPr>
        <w:t>详见附件：安全生产许可证.docx</w:t>
      </w:r>
    </w:p>
    <w:p>
      <w:pPr>
        <w:pStyle w:val="null3"/>
        <w:ind w:firstLine="960"/>
      </w:pPr>
      <w:r>
        <w:rPr>
          <w:rFonts w:ascii="仿宋_GB2312" w:hAnsi="仿宋_GB2312" w:cs="仿宋_GB2312" w:eastAsia="仿宋_GB2312"/>
        </w:rPr>
        <w:t>详见附件：项目负责人资质要求.docx</w:t>
      </w:r>
    </w:p>
    <w:p>
      <w:pPr>
        <w:pStyle w:val="null3"/>
        <w:ind w:firstLine="960"/>
      </w:pPr>
      <w:r>
        <w:rPr>
          <w:rFonts w:ascii="仿宋_GB2312" w:hAnsi="仿宋_GB2312" w:cs="仿宋_GB2312" w:eastAsia="仿宋_GB2312"/>
        </w:rPr>
        <w:t>详见附件：专业技术能力声明.docx</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详见附件：税收缴纳记录证明文件.docx</w:t>
      </w:r>
    </w:p>
    <w:p>
      <w:pPr>
        <w:pStyle w:val="null3"/>
        <w:ind w:firstLine="960"/>
      </w:pPr>
      <w:r>
        <w:rPr>
          <w:rFonts w:ascii="仿宋_GB2312" w:hAnsi="仿宋_GB2312" w:cs="仿宋_GB2312" w:eastAsia="仿宋_GB2312"/>
        </w:rPr>
        <w:t>详见附件：社会保障资金缴纳记录证明文件.docx</w:t>
      </w:r>
    </w:p>
    <w:p>
      <w:pPr>
        <w:pStyle w:val="null3"/>
        <w:ind w:firstLine="960"/>
      </w:pPr>
      <w:r>
        <w:rPr>
          <w:rFonts w:ascii="仿宋_GB2312" w:hAnsi="仿宋_GB2312" w:cs="仿宋_GB2312" w:eastAsia="仿宋_GB2312"/>
        </w:rPr>
        <w:t>详见附件：无重大违法记录声明函.docx</w:t>
      </w:r>
    </w:p>
    <w:p>
      <w:pPr>
        <w:pStyle w:val="null3"/>
        <w:ind w:firstLine="960"/>
      </w:pPr>
      <w:r>
        <w:rPr>
          <w:rFonts w:ascii="仿宋_GB2312" w:hAnsi="仿宋_GB2312" w:cs="仿宋_GB2312" w:eastAsia="仿宋_GB2312"/>
        </w:rPr>
        <w:t>详见附件：信用记录声明及查询证明材料.docx</w:t>
      </w:r>
    </w:p>
    <w:p>
      <w:pPr>
        <w:pStyle w:val="null3"/>
        <w:ind w:firstLine="960"/>
      </w:pPr>
      <w:r>
        <w:rPr>
          <w:rFonts w:ascii="仿宋_GB2312" w:hAnsi="仿宋_GB2312" w:cs="仿宋_GB2312" w:eastAsia="仿宋_GB2312"/>
        </w:rPr>
        <w:t>详见附件：控股关系承诺函.docx</w:t>
      </w:r>
    </w:p>
    <w:p>
      <w:pPr>
        <w:pStyle w:val="null3"/>
        <w:ind w:firstLine="960"/>
      </w:pPr>
      <w:r>
        <w:rPr>
          <w:rFonts w:ascii="仿宋_GB2312" w:hAnsi="仿宋_GB2312" w:cs="仿宋_GB2312" w:eastAsia="仿宋_GB2312"/>
        </w:rPr>
        <w:t>详见附件：非联合体不分包响应声明函.docx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详见附件：工程预算及技术响应方案.docx</w:t>
      </w:r>
    </w:p>
    <w:p>
      <w:pPr>
        <w:pStyle w:val="null3"/>
        <w:ind w:firstLine="960"/>
      </w:pPr>
      <w:r>
        <w:rPr>
          <w:rFonts w:ascii="仿宋_GB2312" w:hAnsi="仿宋_GB2312" w:cs="仿宋_GB2312" w:eastAsia="仿宋_GB2312"/>
        </w:rPr>
        <w:t>详见附件：项目组织响应方案.docx</w:t>
      </w:r>
    </w:p>
    <w:p>
      <w:pPr>
        <w:pStyle w:val="null3"/>
        <w:ind w:firstLine="960"/>
      </w:pPr>
      <w:r>
        <w:rPr>
          <w:rFonts w:ascii="仿宋_GB2312" w:hAnsi="仿宋_GB2312" w:cs="仿宋_GB2312" w:eastAsia="仿宋_GB2312"/>
        </w:rPr>
        <w:t>详见附件：工程施工方案.docx</w:t>
      </w:r>
    </w:p>
    <w:p>
      <w:pPr>
        <w:pStyle w:val="null3"/>
        <w:ind w:firstLine="960"/>
      </w:pPr>
      <w:r>
        <w:rPr>
          <w:rFonts w:ascii="仿宋_GB2312" w:hAnsi="仿宋_GB2312" w:cs="仿宋_GB2312" w:eastAsia="仿宋_GB2312"/>
        </w:rPr>
        <w:t>详见附件：设备投入.docx</w:t>
      </w:r>
    </w:p>
    <w:p>
      <w:pPr>
        <w:pStyle w:val="null3"/>
        <w:ind w:firstLine="960"/>
      </w:pPr>
      <w:r>
        <w:rPr>
          <w:rFonts w:ascii="仿宋_GB2312" w:hAnsi="仿宋_GB2312" w:cs="仿宋_GB2312" w:eastAsia="仿宋_GB2312"/>
        </w:rPr>
        <w:t>详见附件：重难点解决方案.docx</w:t>
      </w:r>
    </w:p>
    <w:p>
      <w:pPr>
        <w:pStyle w:val="null3"/>
        <w:ind w:firstLine="960"/>
      </w:pPr>
      <w:r>
        <w:rPr>
          <w:rFonts w:ascii="仿宋_GB2312" w:hAnsi="仿宋_GB2312" w:cs="仿宋_GB2312" w:eastAsia="仿宋_GB2312"/>
        </w:rPr>
        <w:t>详见附件：特殊天气应对措施.docx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详见附件：商务响应方案.docx</w:t>
      </w:r>
    </w:p>
    <w:p>
      <w:pPr>
        <w:pStyle w:val="null3"/>
        <w:ind w:firstLine="960"/>
      </w:pPr>
      <w:r>
        <w:rPr>
          <w:rFonts w:ascii="仿宋_GB2312" w:hAnsi="仿宋_GB2312" w:cs="仿宋_GB2312" w:eastAsia="仿宋_GB2312"/>
        </w:rPr>
        <w:t>详见附件：供应商承诺书（一）.docx</w:t>
      </w:r>
    </w:p>
    <w:p>
      <w:pPr>
        <w:pStyle w:val="null3"/>
        <w:ind w:firstLine="960"/>
      </w:pPr>
      <w:r>
        <w:rPr>
          <w:rFonts w:ascii="仿宋_GB2312" w:hAnsi="仿宋_GB2312" w:cs="仿宋_GB2312" w:eastAsia="仿宋_GB2312"/>
        </w:rPr>
        <w:t>详见附件：供应商承诺书（二）.docx</w:t>
      </w:r>
    </w:p>
    <w:p>
      <w:pPr>
        <w:pStyle w:val="null3"/>
        <w:ind w:firstLine="960"/>
      </w:pPr>
      <w:r>
        <w:rPr>
          <w:rFonts w:ascii="仿宋_GB2312" w:hAnsi="仿宋_GB2312" w:cs="仿宋_GB2312" w:eastAsia="仿宋_GB2312"/>
        </w:rPr>
        <w:t>详见附件：主要材料价格表.docx</w:t>
      </w:r>
    </w:p>
    <w:p>
      <w:pPr>
        <w:pStyle w:val="null3"/>
        <w:ind w:firstLine="960"/>
      </w:pPr>
      <w:r>
        <w:rPr>
          <w:rFonts w:ascii="仿宋_GB2312" w:hAnsi="仿宋_GB2312" w:cs="仿宋_GB2312" w:eastAsia="仿宋_GB2312"/>
        </w:rPr>
        <w:t>详见附件：磋商响应报价表.docx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