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版本号：ZHJ-2025-019.1B120251218001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医用X射线诊断设备采购项目(二次)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ZHJ-2025-019.1B1</w:t>
      </w:r>
      <w:r>
        <w:br/>
      </w:r>
      <w:r>
        <w:br/>
      </w:r>
      <w:r>
        <w:br/>
      </w:r>
    </w:p>
    <w:p>
      <w:pPr>
        <w:pStyle w:val="null3"/>
        <w:jc w:val="center"/>
        <w:outlineLvl w:val="2"/>
      </w:pPr>
      <w:r>
        <w:rPr>
          <w:rFonts w:ascii="仿宋_GB2312" w:hAnsi="仿宋_GB2312" w:cs="仿宋_GB2312" w:eastAsia="仿宋_GB2312"/>
          <w:sz w:val="28"/>
          <w:b/>
        </w:rPr>
        <w:t>商洛市疾病预防控制中心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商洛市疾病预防控制中心</w:t>
      </w:r>
      <w:r>
        <w:rPr>
          <w:rFonts w:ascii="仿宋_GB2312" w:hAnsi="仿宋_GB2312" w:cs="仿宋_GB2312" w:eastAsia="仿宋_GB2312"/>
        </w:rPr>
        <w:t>委托，拟对</w:t>
      </w:r>
      <w:r>
        <w:rPr>
          <w:rFonts w:ascii="仿宋_GB2312" w:hAnsi="仿宋_GB2312" w:cs="仿宋_GB2312" w:eastAsia="仿宋_GB2312"/>
        </w:rPr>
        <w:t>医用X射线诊断设备采购项目(二次)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ZHJ-2025-019.1B1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医用X射线诊断设备采购项目(二次)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为确保我中心放射诊疗工作的连续性、稳定性和图像质量，避免因设备故障影响疾控工作的正常开展，现特申请购置一台医用X射线诊断设备。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采购包1（商洛市疾病预防控制中心医用X射线诊断设备采购项目）：属于专门面向中小企业采购。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资格证明文件：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3、财务状况审查：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审查：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审查：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6、法定代表人授权委托书审查：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7、无重大违法记录：供应商参加政府采购活动前3年内在经营活动中没有重大违法记录的书面声明；供应商需在项目电子化交易系统中按要求上传相应证明文件并进行电子签章。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9、其他承诺响应：具有履行合同所必需的设备和专业技术能力的承诺书；未为本项目提供整体设计、规范编制或者项目管理、监理、检测等服务的承诺书；供应商需在项目电子化交易系统中按要求上传相应证明文件并进行电子签章。</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10、控股管理关系：单位负责人为同一人或者存在直接控股、管理关系的供应商，不得参加同一合同下的政府采购活动的承诺书；供应商需在项目电子化交易系统中按要求上传相应证明文件并进行电子签章。</w:t>
      </w:r>
    </w:p>
    <w:p>
      <w:pPr>
        <w:pStyle w:val="null3"/>
      </w:pPr>
      <w:r>
        <w:rPr>
          <w:rFonts w:ascii="仿宋_GB2312" w:hAnsi="仿宋_GB2312" w:cs="仿宋_GB2312" w:eastAsia="仿宋_GB2312"/>
        </w:rPr>
        <w:t>11、联合体：本项目不接受联合体投标的承诺书；供应商需在项目电子化交易系统中按要求上传相应证明文件并进行电子签章。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商洛市通信路信息巷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0914-2313563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 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代理服务费收费标准：参考《国家发展改革委办公厅颁发的关于招标代理服务费收费有关问题的通知》( 发改办价格〔2002〕1980号)及《调整后的招标代理服务收费标准》(发改价格〔2011〕534号)的有关规定计取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商洛市疾病预防控制中心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联系人：闫工</w:t>
      </w:r>
    </w:p>
    <w:p>
      <w:pPr>
        <w:pStyle w:val="null3"/>
      </w:pPr>
      <w:r>
        <w:rPr>
          <w:rFonts w:ascii="仿宋_GB2312" w:hAnsi="仿宋_GB2312" w:cs="仿宋_GB2312" w:eastAsia="仿宋_GB2312"/>
        </w:rPr>
        <w:t>联系电话：029-89878539</w:t>
      </w:r>
    </w:p>
    <w:p>
      <w:pPr>
        <w:pStyle w:val="null3"/>
      </w:pPr>
      <w:r>
        <w:rPr>
          <w:rFonts w:ascii="仿宋_GB2312" w:hAnsi="仿宋_GB2312" w:cs="仿宋_GB2312" w:eastAsia="仿宋_GB2312"/>
        </w:rPr>
        <w:t>地址： 陕西省西安市未央区 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为确保我中心放射诊疗工作的连续性、稳定性和图像质量，避免因设备故障影响疾控工作的正常开展，现特申请购置一台医用X射线诊断设备。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22"/>
              <w:gridCol w:w="2102"/>
              <w:gridCol w:w="228"/>
            </w:tblGrid>
            <w:tr>
              <w:tc>
                <w:tcPr>
                  <w:tcW w:type="dxa" w:w="2552"/>
                  <w:gridSpan w:val="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透视摄影X射线机技术规格要求</w:t>
                  </w:r>
                </w:p>
              </w:tc>
            </w:tr>
            <w:tr>
              <w:tc>
                <w:tcPr>
                  <w:tcW w:type="dxa" w:w="255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（一）设备采购清单</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类型</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设备名称</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其他医疗设备</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透视摄影X射线机</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1台</w:t>
                  </w:r>
                </w:p>
              </w:tc>
            </w:tr>
            <w:tr>
              <w:tc>
                <w:tcPr>
                  <w:tcW w:type="dxa" w:w="255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（二）招标参数和性能要求</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序号</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招标参数和性能要求</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备注</w:t>
                  </w: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功能及基本商务要求</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所招设备为透视摄影X射线机,用于完成全身各部位、各体位、各角度的拍片检查。</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为保证整机兼容及售后保障，投标产品配备的高压发生器、平板探测器为同一制造商（需提供检验报告证明）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主要技术规格和要求</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2.1</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X线球管及支架系统</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要求双立柱机械结构</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大焦点尺寸 ≤1.2mm，小焦点尺寸 ≤0.6mm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阳极热容量≥350KHU</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2.1.4</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阳极旋转速度≥10000rpm（需提供医疗器械产品技术要求证明）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2.1.5</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球管绕垂直轴旋转≥-90º— +180º</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2.1.6</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球管绕水平轴旋转≥±120º</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2.1.7</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系统沿摄影床纵向移动距离≥2200mm（需提供检验报告证明）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2.1.8</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X线球管组件与平板探测器组件具有自动跟随功能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2.2</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高压发生器</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标称功率≥71KW（需提供检验报告证明）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千伏范围:40—150KV</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APR功能及手动调节设置</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2.2.4</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曝光时间范围： 最短系统曝光时间≤1ms，最长系统曝光时间≥10s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2.2.5</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最大输出电流≥800mA</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2.2.6</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最小电流时间积≤0.1mAs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2.2.7</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最大电流时间积≥980mAs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2.2.8</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透视管电压≥40~125KV</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▲2.2.9</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最大透视管电流≥40mA（需提供检验报告证明）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2.2.10</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逆变频率≥500kHz（需提供检验报告证明）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2.2.11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具备自动透视功能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2.2.12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具备自动曝光控制功能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2.3</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无线平板探测器</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2.3.1 </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探测器尺寸≥420mm×420mm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2.3.2 </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像素尺寸≤139um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采集灰阶度≥16bits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2.3.4</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空间分辨率≥3.7lp/mm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2.3.5</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采集距阵≥3000×3000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2.3.6</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DQE≥70%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2.3.7</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成像时间≤5s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动态平板探测器</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2.4.1</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探测器尺寸≥420mm×420mm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像素尺寸≤139um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采集灰阶度≥16bits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▲2.4.4</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空间分辨率≥3.6lp/mm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2.4.5</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采集距阵≥3000×3000</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2.4.6</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DQE≥69%</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2.4.7</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成像时间≤3s（需提供检验报告证明）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2.4.8</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采集速率≥30帧/s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2.4.9</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传输方式：无线传输</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胸片架  </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摄影台垂直移动范围≥1500mm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探测器中心的标线距地最低≤370mm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滤线栅栅密度≥103L/inch</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固定摄影床</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配备固定式摄影床，非移动式</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床面移动范围：纵向≥900mm（需提供检验报告证明）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床面移动范围：横向≥260mm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2.6.4</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滤线器纵向范围≥530mm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2.6.5</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床面板下表面至平板探测器接收面距离≤65mm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2.6.6</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床面最大承重≥200kg</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2.6.7</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床面板解锁方式：脚踏方式电磁解锁</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2.6.8</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支持平板在线充电</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2.6.9</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床面距地高度≤660mm</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球管机头端触控屏</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2.7.1</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具备近台操控彩色触摸屏</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2.7.2</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屏幕尺寸≥11英寸（需提供检验报告证明）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2.7.3</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屏幕显示可依据重力方向自动调整显示的方向</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2.7.4</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可显示患者的详细登记信息</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2.7.5</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可调整曝光参数</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2.7.6</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可调整部位选择</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2.7.7</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显示摆位图示化引导提示</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2.7.8</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具备患者体型选择</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2.7.9</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可以显示SID数值</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2.7.10</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可显示摄影图像（需提供检验报告证明）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both"/>
                  </w:pPr>
                  <w:r>
                    <w:rPr>
                      <w:rFonts w:ascii="仿宋_GB2312" w:hAnsi="仿宋_GB2312" w:cs="仿宋_GB2312" w:eastAsia="仿宋_GB2312"/>
                      <w:sz w:val="22"/>
                      <w:color w:val="000000"/>
                    </w:rPr>
                    <w:t>图像采集工作站</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windows 7及以上操作系统</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2.8.2</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操作界面语言采用中文设计</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2.8.3</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高压发生器控制与系统操作高度集成，可在系统界面上进行高压发生器曝光参数的调节、设置和显示</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2.8.4</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具有图像放大及漫游功能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2.8.5</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具有曝光参数记录和显示功能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2.8.6</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具有边缘增强功能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2.8.7</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具有窗宽窗位调节功能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2.8.8</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具有图象翻转及旋转功能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2.8.9</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具有图像正负像翻转功能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2.8.10</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具有图像标注功能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2.8.11</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具有DICOM图像导出存储功能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2.8.12</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具有病人登记，信息管理功能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2.8.13</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具有故障代码发送，高压发生器操作过程记录功能</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2.8.14</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支持DICOM3.0：WORKLIST，MPPS</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2.8.15</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具有统计功能，可统计曝光数量，拍摄部位，拍摄量等</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2.8.16</w:t>
                  </w:r>
                </w:p>
              </w:tc>
              <w:tc>
                <w:tcPr>
                  <w:tcW w:type="dxa" w:w="2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具有DAP剂量面积乘积显示功能（需提供软件著作权证书证明）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▲2.8.17</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具有智能售后远程服务系统，厂家能实时观测设备的详细使用状态，能自动反馈故障或错误给厂家（需提供相关证明文件证明）</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其他</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3.1</w:t>
                  </w:r>
                </w:p>
              </w:tc>
              <w:tc>
                <w:tcPr>
                  <w:tcW w:type="dxa" w:w="21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符合国标的防护铅衣五件套：2套（成人1套、儿童1套）。</w:t>
                  </w:r>
                </w:p>
              </w:tc>
              <w:tc>
                <w:tcPr>
                  <w:tcW w:type="dxa" w:w="22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自合同签订后15日历天内安装调试完毕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（1）本次采购无预付款。 （2）经项目管理单位验收合格，一次性支付合同总价款的100%。 （3）结算单位：由甲方负责结算，乙方开具合同总价数的全额发票交采购人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资格证明文件</w:t>
            </w:r>
          </w:p>
        </w:tc>
        <w:tc>
          <w:tcPr>
            <w:tcW w:type="dxa" w:w="3322"/>
          </w:tcPr>
          <w:p>
            <w:pPr>
              <w:pStyle w:val="null3"/>
            </w:pPr>
            <w:r>
              <w:rPr>
                <w:rFonts w:ascii="仿宋_GB2312" w:hAnsi="仿宋_GB2312" w:cs="仿宋_GB2312" w:eastAsia="仿宋_GB2312"/>
              </w:rPr>
              <w:t>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的承诺书；未为本项目提供整体设计、规范编制或者项目管理、监理、检测等服务的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单位负责人为同一人或者存在直接控股、管理关系的供应商，不得参加同一合同下的政府采购活动的承诺书；供应商需在项目电子化交易系统中按要求上传相应证明文件并进行电子签章。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本项目不接受联合体投标的承诺书；供应商需在项目电子化交易系统中按要求上传相应证明文件并进行电子签章。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标的清单 备品备件报价表.docx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类似项目业绩一览表.docx 中小企业声明函 商务应答表 产品技术参数表 供应商应提交的相关资格证明材料.docx 法定代表人身份证明书.docx 投标函 残疾人福利性单位声明函 标的清单 投标文件封面 备品备件报价表.docx 法定代表人授权委托书.docx 服务方案.docx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技术项完全满足招标文件技术指标要求的，得30分，每负偏离一项扣0.5分，扣完为止。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 ① 实施计划：② 供货、安装、调试方案：③ 验收措施：④ 物力调配的相应保障措施。 二、评审标准 1、完整性：方案须全面，对评审内容中的各项要求描述详细； 2、可实施性：切合本项目实际情况，实施步骤清晰、合理； 3、针对性：方案能够紧扣项目实际情况，内容科学合理。 三、赋分依据（满分 12 分） ①实施计划：每完全满足一个评审标准得 1 分，满分 3 分； ②供货、安装、调试方案:每完全满足一个评审标准得 1 分，满分 3 分； ③验收措施:每完全满足一个评审标准得 1 分，满分 3 分； ④物力调配的相应保障措施：每完全满足一个评审标准得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根据本项目实际需求及特点，提出产品质量保障措施，包括： ①质量控制目标②质量控制流程③质量保障计划。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质量控制目标：每满足一项评审标准得0.5分，满分1.5分； ② 质量控制流程：每满足一项评审标准得0.5分，满分1.5分； ③ 质量保障计划：每满足一项评审标准得0.5分，满分1.5分。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 使用过程中能熟练操作、维护和正常使用，培训方案内容包含①培训内容②培训计划安排。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①培训内容：每完全满足一个评审标准得 0.5 分，满分 1.5 分； ②培训计划安排：每完全满足一个评审标准得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①售后服务范围及保障措施 ②故障处理措施 ③售后回访巡检计划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 满分1.5分； ②故障处理措施: :每完全满足一个评审标准得0.5分，满分1.5分； ③售后回访巡检计划：每完全满足一个评审标准得0.5分，满分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提供设备及备品配件发生故障后的应急预案，包含但不限于响应时间、补救方案等内容。 措施详细、具体，内容齐全，针对性强，可行性强，满足项目需求，得4分； 措施内容较齐全，较有针对性，较有可行性，得2分； 措施内容基本齐全，基本可行，得1分。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1、承诺质保期高于招标文件要求的，每增加一年得 1 分，满分2分。无承诺不得分。 2、投标人针对本项目提供其他有利于本项目开展的承诺，每提供一条得1分，满分5分。不承诺不得分。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投标人每提供一份2022年1月1日至今同类项目供货业绩计1分，最高得5分。注：①业绩以合同为准，时间以合同签订时间为准。②需提供完整合同扫描件。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