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25FD2B">
      <w:pPr>
        <w:spacing w:line="500" w:lineRule="exact"/>
        <w:ind w:firstLine="560" w:firstLineChars="200"/>
        <w:jc w:val="center"/>
        <w:rPr>
          <w:rFonts w:hint="eastAsia" w:ascii="宋体" w:hAnsi="宋体"/>
          <w:b/>
          <w:sz w:val="28"/>
          <w:szCs w:val="28"/>
        </w:rPr>
      </w:pPr>
      <w:bookmarkStart w:id="0" w:name="_Hlk184390899"/>
      <w:r>
        <w:rPr>
          <w:rFonts w:hint="eastAsia" w:ascii="宋体" w:hAnsi="宋体"/>
          <w:b/>
          <w:sz w:val="28"/>
          <w:szCs w:val="28"/>
        </w:rPr>
        <w:t>合同（仅供参考）</w:t>
      </w:r>
    </w:p>
    <w:p w14:paraId="3E6E0B1A">
      <w:pPr>
        <w:adjustRightInd w:val="0"/>
        <w:snapToGrid w:val="0"/>
        <w:spacing w:line="460" w:lineRule="exact"/>
        <w:rPr>
          <w:rFonts w:hint="eastAsia" w:ascii="宋体" w:hAnsi="宋体" w:eastAsia="宋体" w:cs="宋体"/>
          <w:sz w:val="24"/>
        </w:rPr>
      </w:pPr>
      <w:bookmarkStart w:id="1" w:name="_Hlk181186344"/>
      <w:r>
        <w:rPr>
          <w:rFonts w:hint="eastAsia" w:ascii="宋体" w:hAnsi="宋体" w:eastAsia="宋体" w:cs="宋体"/>
          <w:sz w:val="24"/>
        </w:rPr>
        <w:t>甲方：</w:t>
      </w:r>
      <w:r>
        <w:rPr>
          <w:rFonts w:hint="eastAsia" w:ascii="宋体" w:hAnsi="宋体" w:eastAsia="宋体" w:cs="宋体"/>
          <w:sz w:val="24"/>
          <w:u w:val="single"/>
        </w:rPr>
        <w:t xml:space="preserve">                        </w:t>
      </w:r>
      <w:r>
        <w:rPr>
          <w:rFonts w:hint="eastAsia" w:ascii="宋体" w:hAnsi="宋体" w:eastAsia="宋体" w:cs="宋体"/>
          <w:sz w:val="24"/>
        </w:rPr>
        <w:t xml:space="preserve"> </w:t>
      </w:r>
    </w:p>
    <w:p w14:paraId="1EACABEE">
      <w:pPr>
        <w:adjustRightInd w:val="0"/>
        <w:snapToGrid w:val="0"/>
        <w:spacing w:line="460" w:lineRule="exact"/>
        <w:rPr>
          <w:rFonts w:hint="eastAsia" w:ascii="宋体" w:hAnsi="宋体" w:eastAsia="宋体" w:cs="宋体"/>
          <w:sz w:val="24"/>
          <w:u w:val="single"/>
        </w:rPr>
      </w:pPr>
      <w:r>
        <w:rPr>
          <w:rFonts w:hint="eastAsia" w:ascii="宋体" w:hAnsi="宋体" w:eastAsia="宋体" w:cs="宋体"/>
          <w:sz w:val="24"/>
        </w:rPr>
        <w:t>法定代表人：</w:t>
      </w:r>
      <w:r>
        <w:rPr>
          <w:rFonts w:hint="eastAsia" w:ascii="宋体" w:hAnsi="宋体" w:eastAsia="宋体" w:cs="宋体"/>
          <w:sz w:val="24"/>
          <w:u w:val="single"/>
        </w:rPr>
        <w:t xml:space="preserve">                  </w:t>
      </w:r>
    </w:p>
    <w:p w14:paraId="614C87E0">
      <w:pPr>
        <w:adjustRightInd w:val="0"/>
        <w:snapToGrid w:val="0"/>
        <w:spacing w:line="460" w:lineRule="exact"/>
        <w:rPr>
          <w:rFonts w:hint="eastAsia" w:ascii="宋体" w:hAnsi="宋体" w:eastAsia="宋体" w:cs="宋体"/>
          <w:sz w:val="24"/>
          <w:u w:val="single"/>
        </w:rPr>
      </w:pPr>
      <w:r>
        <w:rPr>
          <w:rFonts w:hint="eastAsia" w:ascii="宋体" w:hAnsi="宋体" w:eastAsia="宋体" w:cs="宋体"/>
          <w:sz w:val="24"/>
        </w:rPr>
        <w:t>统一信用代码：</w:t>
      </w:r>
      <w:r>
        <w:rPr>
          <w:rFonts w:hint="eastAsia" w:ascii="宋体" w:hAnsi="宋体" w:eastAsia="宋体" w:cs="宋体"/>
          <w:sz w:val="24"/>
          <w:u w:val="single"/>
        </w:rPr>
        <w:t xml:space="preserve">                </w:t>
      </w:r>
    </w:p>
    <w:p w14:paraId="500581FA">
      <w:pPr>
        <w:adjustRightInd w:val="0"/>
        <w:snapToGrid w:val="0"/>
        <w:spacing w:line="460" w:lineRule="exact"/>
        <w:rPr>
          <w:rFonts w:hint="eastAsia" w:ascii="宋体" w:hAnsi="宋体" w:eastAsia="宋体" w:cs="宋体"/>
          <w:sz w:val="24"/>
        </w:rPr>
      </w:pPr>
      <w:r>
        <w:rPr>
          <w:rFonts w:hint="eastAsia" w:ascii="宋体" w:hAnsi="宋体" w:eastAsia="宋体" w:cs="宋体"/>
          <w:sz w:val="24"/>
        </w:rPr>
        <w:t>乙方：</w:t>
      </w:r>
      <w:r>
        <w:rPr>
          <w:rFonts w:hint="eastAsia" w:ascii="宋体" w:hAnsi="宋体" w:eastAsia="宋体" w:cs="宋体"/>
          <w:sz w:val="24"/>
          <w:u w:val="single"/>
        </w:rPr>
        <w:t xml:space="preserve">                        </w:t>
      </w:r>
      <w:r>
        <w:rPr>
          <w:rFonts w:hint="eastAsia" w:ascii="宋体" w:hAnsi="宋体" w:eastAsia="宋体" w:cs="宋体"/>
          <w:sz w:val="24"/>
        </w:rPr>
        <w:t xml:space="preserve"> </w:t>
      </w:r>
    </w:p>
    <w:p w14:paraId="7E583958">
      <w:pPr>
        <w:adjustRightInd w:val="0"/>
        <w:snapToGrid w:val="0"/>
        <w:spacing w:line="460" w:lineRule="exact"/>
        <w:rPr>
          <w:rFonts w:hint="eastAsia" w:ascii="宋体" w:hAnsi="宋体" w:eastAsia="宋体" w:cs="宋体"/>
          <w:sz w:val="24"/>
          <w:u w:val="single"/>
        </w:rPr>
      </w:pPr>
      <w:r>
        <w:rPr>
          <w:rFonts w:hint="eastAsia" w:ascii="宋体" w:hAnsi="宋体" w:eastAsia="宋体" w:cs="宋体"/>
          <w:sz w:val="24"/>
        </w:rPr>
        <w:t>法定代表人：</w:t>
      </w:r>
      <w:r>
        <w:rPr>
          <w:rFonts w:hint="eastAsia" w:ascii="宋体" w:hAnsi="宋体" w:eastAsia="宋体" w:cs="宋体"/>
          <w:sz w:val="24"/>
          <w:u w:val="single"/>
        </w:rPr>
        <w:t xml:space="preserve">                  </w:t>
      </w:r>
    </w:p>
    <w:p w14:paraId="199CE9E5">
      <w:pPr>
        <w:adjustRightInd w:val="0"/>
        <w:snapToGrid w:val="0"/>
        <w:spacing w:line="460" w:lineRule="exact"/>
        <w:rPr>
          <w:rFonts w:hint="eastAsia" w:ascii="宋体" w:hAnsi="宋体" w:eastAsia="宋体" w:cs="宋体"/>
          <w:sz w:val="24"/>
          <w:lang w:val="zh-CN"/>
        </w:rPr>
      </w:pPr>
      <w:r>
        <w:rPr>
          <w:rFonts w:hint="eastAsia" w:ascii="宋体" w:hAnsi="宋体" w:eastAsia="宋体" w:cs="宋体"/>
          <w:sz w:val="24"/>
        </w:rPr>
        <w:t>统一信用代码：</w:t>
      </w:r>
      <w:r>
        <w:rPr>
          <w:rFonts w:hint="eastAsia" w:ascii="宋体" w:hAnsi="宋体" w:eastAsia="宋体" w:cs="宋体"/>
          <w:sz w:val="24"/>
          <w:u w:val="single"/>
        </w:rPr>
        <w:t xml:space="preserve">                </w:t>
      </w:r>
    </w:p>
    <w:p w14:paraId="33C5B2A9">
      <w:pPr>
        <w:overflowPunct w:val="0"/>
        <w:adjustRightInd w:val="0"/>
        <w:snapToGrid w:val="0"/>
        <w:spacing w:line="460" w:lineRule="exact"/>
        <w:rPr>
          <w:rFonts w:hint="eastAsia" w:ascii="宋体" w:hAnsi="宋体" w:eastAsia="宋体" w:cs="仿宋_GB2312"/>
          <w:kern w:val="0"/>
          <w:sz w:val="24"/>
          <w:shd w:val="clear" w:color="auto" w:fill="FFFFFF"/>
        </w:rPr>
      </w:pPr>
    </w:p>
    <w:p w14:paraId="4263C746">
      <w:pPr>
        <w:overflowPunct w:val="0"/>
        <w:adjustRightInd w:val="0"/>
        <w:snapToGrid w:val="0"/>
        <w:spacing w:line="460" w:lineRule="exact"/>
        <w:ind w:firstLine="480" w:firstLineChars="200"/>
        <w:rPr>
          <w:rFonts w:hint="eastAsia" w:ascii="宋体" w:hAnsi="宋体" w:eastAsia="宋体" w:cs="仿宋_GB2312"/>
          <w:kern w:val="0"/>
          <w:sz w:val="24"/>
          <w:shd w:val="clear" w:color="auto" w:fill="FFFFFF"/>
        </w:rPr>
      </w:pPr>
      <w:r>
        <w:rPr>
          <w:rFonts w:hint="eastAsia" w:ascii="宋体" w:hAnsi="宋体" w:eastAsia="宋体" w:cs="仿宋_GB2312"/>
          <w:kern w:val="0"/>
          <w:sz w:val="24"/>
        </w:rPr>
        <w:t>依据《中华人民共和国民法典》经甲、乙双方共同协商，按下述条款和条件签署本合同。</w:t>
      </w:r>
    </w:p>
    <w:p w14:paraId="08E0A605">
      <w:pPr>
        <w:overflowPunct w:val="0"/>
        <w:adjustRightInd w:val="0"/>
        <w:snapToGrid w:val="0"/>
        <w:spacing w:after="156" w:afterLines="50" w:line="460" w:lineRule="exact"/>
        <w:ind w:firstLine="482" w:firstLineChars="200"/>
        <w:rPr>
          <w:rFonts w:hint="eastAsia" w:ascii="宋体" w:hAnsi="宋体" w:eastAsia="宋体" w:cs="Times New Roman"/>
          <w:kern w:val="0"/>
          <w:sz w:val="20"/>
          <w:szCs w:val="20"/>
        </w:rPr>
      </w:pPr>
      <w:bookmarkStart w:id="2" w:name="_Toc29437"/>
      <w:bookmarkStart w:id="3" w:name="_Toc11641"/>
      <w:r>
        <w:rPr>
          <w:rFonts w:hint="eastAsia" w:ascii="宋体" w:hAnsi="宋体" w:eastAsia="宋体" w:cs="宋体"/>
          <w:b/>
          <w:bCs/>
          <w:kern w:val="0"/>
          <w:sz w:val="24"/>
        </w:rPr>
        <w:t>1.合同标的及数量</w:t>
      </w:r>
      <w:bookmarkEnd w:id="2"/>
      <w:bookmarkEnd w:id="3"/>
    </w:p>
    <w:tbl>
      <w:tblPr>
        <w:tblStyle w:val="4"/>
        <w:tblW w:w="9321"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06"/>
        <w:gridCol w:w="1967"/>
        <w:gridCol w:w="991"/>
        <w:gridCol w:w="706"/>
        <w:gridCol w:w="705"/>
        <w:gridCol w:w="1114"/>
        <w:gridCol w:w="1063"/>
        <w:gridCol w:w="2069"/>
      </w:tblGrid>
      <w:tr w14:paraId="439C25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5" w:hRule="atLeast"/>
        </w:trPr>
        <w:tc>
          <w:tcPr>
            <w:tcW w:w="706" w:type="dxa"/>
            <w:vAlign w:val="center"/>
          </w:tcPr>
          <w:p w14:paraId="2D4DBC46">
            <w:pPr>
              <w:snapToGrid w:val="0"/>
              <w:spacing w:line="400" w:lineRule="exact"/>
              <w:jc w:val="center"/>
              <w:rPr>
                <w:rFonts w:hint="eastAsia" w:ascii="宋体" w:hAnsi="宋体" w:eastAsia="宋体" w:cs="宋体"/>
                <w:sz w:val="24"/>
              </w:rPr>
            </w:pPr>
            <w:r>
              <w:rPr>
                <w:rFonts w:hint="eastAsia" w:ascii="宋体" w:hAnsi="宋体" w:eastAsia="宋体" w:cs="宋体"/>
                <w:sz w:val="24"/>
              </w:rPr>
              <w:t>序号</w:t>
            </w:r>
          </w:p>
        </w:tc>
        <w:tc>
          <w:tcPr>
            <w:tcW w:w="1967" w:type="dxa"/>
            <w:vAlign w:val="center"/>
          </w:tcPr>
          <w:p w14:paraId="1A3C9496">
            <w:pPr>
              <w:snapToGrid w:val="0"/>
              <w:spacing w:line="400" w:lineRule="exact"/>
              <w:jc w:val="center"/>
              <w:rPr>
                <w:rFonts w:hint="eastAsia" w:ascii="宋体" w:hAnsi="宋体" w:eastAsia="宋体" w:cs="宋体"/>
                <w:sz w:val="24"/>
              </w:rPr>
            </w:pPr>
            <w:r>
              <w:rPr>
                <w:rFonts w:hint="eastAsia" w:ascii="宋体" w:hAnsi="宋体" w:eastAsia="宋体" w:cs="宋体"/>
                <w:sz w:val="24"/>
              </w:rPr>
              <w:t>产品名称</w:t>
            </w:r>
          </w:p>
        </w:tc>
        <w:tc>
          <w:tcPr>
            <w:tcW w:w="991" w:type="dxa"/>
            <w:vAlign w:val="center"/>
          </w:tcPr>
          <w:p w14:paraId="211CF917">
            <w:pPr>
              <w:snapToGrid w:val="0"/>
              <w:spacing w:line="400" w:lineRule="exact"/>
              <w:jc w:val="center"/>
              <w:rPr>
                <w:rFonts w:hint="eastAsia" w:ascii="宋体" w:hAnsi="宋体" w:eastAsia="宋体" w:cs="宋体"/>
                <w:sz w:val="24"/>
              </w:rPr>
            </w:pPr>
            <w:r>
              <w:rPr>
                <w:rFonts w:hint="eastAsia" w:ascii="宋体" w:hAnsi="宋体" w:eastAsia="宋体" w:cs="宋体"/>
                <w:sz w:val="24"/>
              </w:rPr>
              <w:t>单价（元）</w:t>
            </w:r>
          </w:p>
        </w:tc>
        <w:tc>
          <w:tcPr>
            <w:tcW w:w="706" w:type="dxa"/>
            <w:tcBorders>
              <w:right w:val="single" w:color="auto" w:sz="4" w:space="0"/>
            </w:tcBorders>
            <w:vAlign w:val="center"/>
          </w:tcPr>
          <w:p w14:paraId="6F8C9C7A">
            <w:pPr>
              <w:snapToGrid w:val="0"/>
              <w:spacing w:line="400" w:lineRule="exact"/>
              <w:jc w:val="center"/>
              <w:rPr>
                <w:rFonts w:hint="eastAsia" w:ascii="宋体" w:hAnsi="宋体" w:eastAsia="宋体" w:cs="宋体"/>
                <w:sz w:val="24"/>
              </w:rPr>
            </w:pPr>
            <w:r>
              <w:rPr>
                <w:rFonts w:hint="eastAsia" w:ascii="宋体" w:hAnsi="宋体" w:eastAsia="宋体" w:cs="宋体"/>
                <w:sz w:val="24"/>
              </w:rPr>
              <w:t>数量</w:t>
            </w:r>
          </w:p>
        </w:tc>
        <w:tc>
          <w:tcPr>
            <w:tcW w:w="705" w:type="dxa"/>
            <w:tcBorders>
              <w:left w:val="single" w:color="auto" w:sz="4" w:space="0"/>
            </w:tcBorders>
            <w:vAlign w:val="center"/>
          </w:tcPr>
          <w:p w14:paraId="005BEC36">
            <w:pPr>
              <w:snapToGrid w:val="0"/>
              <w:spacing w:line="400" w:lineRule="exact"/>
              <w:jc w:val="center"/>
              <w:rPr>
                <w:rFonts w:hint="eastAsia" w:ascii="宋体" w:hAnsi="宋体" w:eastAsia="宋体" w:cs="宋体"/>
                <w:sz w:val="24"/>
              </w:rPr>
            </w:pPr>
            <w:r>
              <w:rPr>
                <w:rFonts w:hint="eastAsia" w:ascii="宋体" w:hAnsi="宋体" w:eastAsia="宋体" w:cs="宋体"/>
                <w:sz w:val="24"/>
              </w:rPr>
              <w:t>单位</w:t>
            </w:r>
          </w:p>
        </w:tc>
        <w:tc>
          <w:tcPr>
            <w:tcW w:w="1114" w:type="dxa"/>
            <w:tcBorders>
              <w:right w:val="single" w:color="auto" w:sz="4" w:space="0"/>
            </w:tcBorders>
            <w:vAlign w:val="center"/>
          </w:tcPr>
          <w:p w14:paraId="618178B4">
            <w:pPr>
              <w:adjustRightInd w:val="0"/>
              <w:snapToGrid w:val="0"/>
              <w:spacing w:line="400" w:lineRule="exact"/>
              <w:jc w:val="center"/>
              <w:rPr>
                <w:rFonts w:hint="eastAsia" w:ascii="宋体" w:hAnsi="宋体" w:eastAsia="宋体" w:cs="宋体"/>
                <w:sz w:val="24"/>
              </w:rPr>
            </w:pPr>
            <w:r>
              <w:rPr>
                <w:rFonts w:hint="eastAsia" w:ascii="宋体" w:hAnsi="宋体" w:eastAsia="宋体" w:cs="宋体"/>
                <w:sz w:val="24"/>
              </w:rPr>
              <w:t>金额（元）</w:t>
            </w:r>
          </w:p>
        </w:tc>
        <w:tc>
          <w:tcPr>
            <w:tcW w:w="1063" w:type="dxa"/>
            <w:tcBorders>
              <w:left w:val="single" w:color="auto" w:sz="4" w:space="0"/>
            </w:tcBorders>
            <w:vAlign w:val="center"/>
          </w:tcPr>
          <w:p w14:paraId="3F008E39">
            <w:pPr>
              <w:adjustRightInd w:val="0"/>
              <w:snapToGrid w:val="0"/>
              <w:spacing w:line="400" w:lineRule="exact"/>
              <w:jc w:val="center"/>
              <w:rPr>
                <w:rFonts w:hint="eastAsia" w:ascii="宋体" w:hAnsi="宋体" w:eastAsia="宋体" w:cs="宋体"/>
                <w:sz w:val="24"/>
              </w:rPr>
            </w:pPr>
            <w:r>
              <w:rPr>
                <w:rFonts w:hint="eastAsia" w:ascii="宋体" w:hAnsi="宋体" w:eastAsia="宋体" w:cs="宋体"/>
                <w:sz w:val="24"/>
              </w:rPr>
              <w:t>制造商</w:t>
            </w:r>
          </w:p>
        </w:tc>
        <w:tc>
          <w:tcPr>
            <w:tcW w:w="2069" w:type="dxa"/>
            <w:vAlign w:val="center"/>
          </w:tcPr>
          <w:p w14:paraId="70F35F4E">
            <w:pPr>
              <w:snapToGrid w:val="0"/>
              <w:spacing w:line="400" w:lineRule="exact"/>
              <w:jc w:val="center"/>
              <w:rPr>
                <w:rFonts w:hint="eastAsia" w:ascii="宋体" w:hAnsi="宋体" w:eastAsia="宋体" w:cs="宋体"/>
                <w:sz w:val="24"/>
              </w:rPr>
            </w:pPr>
            <w:r>
              <w:rPr>
                <w:rFonts w:hint="eastAsia" w:ascii="宋体" w:hAnsi="宋体" w:eastAsia="宋体" w:cs="宋体"/>
                <w:sz w:val="24"/>
              </w:rPr>
              <w:t>技术参数</w:t>
            </w:r>
          </w:p>
        </w:tc>
      </w:tr>
      <w:tr w14:paraId="4EAA7B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706" w:type="dxa"/>
          </w:tcPr>
          <w:p w14:paraId="58559F31">
            <w:pPr>
              <w:snapToGrid w:val="0"/>
              <w:spacing w:line="400" w:lineRule="exact"/>
              <w:rPr>
                <w:rFonts w:hint="eastAsia" w:ascii="宋体" w:hAnsi="宋体" w:eastAsia="宋体" w:cs="宋体"/>
                <w:sz w:val="24"/>
              </w:rPr>
            </w:pPr>
          </w:p>
        </w:tc>
        <w:tc>
          <w:tcPr>
            <w:tcW w:w="1967" w:type="dxa"/>
          </w:tcPr>
          <w:p w14:paraId="67C902A6">
            <w:pPr>
              <w:snapToGrid w:val="0"/>
              <w:spacing w:line="400" w:lineRule="exact"/>
              <w:rPr>
                <w:rFonts w:hint="eastAsia" w:ascii="宋体" w:hAnsi="宋体" w:eastAsia="宋体" w:cs="宋体"/>
                <w:sz w:val="24"/>
              </w:rPr>
            </w:pPr>
          </w:p>
        </w:tc>
        <w:tc>
          <w:tcPr>
            <w:tcW w:w="991" w:type="dxa"/>
          </w:tcPr>
          <w:p w14:paraId="25779111">
            <w:pPr>
              <w:snapToGrid w:val="0"/>
              <w:spacing w:line="400" w:lineRule="exact"/>
              <w:rPr>
                <w:rFonts w:hint="eastAsia" w:ascii="宋体" w:hAnsi="宋体" w:eastAsia="宋体" w:cs="宋体"/>
                <w:sz w:val="24"/>
              </w:rPr>
            </w:pPr>
          </w:p>
        </w:tc>
        <w:tc>
          <w:tcPr>
            <w:tcW w:w="706" w:type="dxa"/>
            <w:tcBorders>
              <w:right w:val="single" w:color="auto" w:sz="4" w:space="0"/>
            </w:tcBorders>
          </w:tcPr>
          <w:p w14:paraId="77050F31">
            <w:pPr>
              <w:snapToGrid w:val="0"/>
              <w:spacing w:line="400" w:lineRule="exact"/>
              <w:rPr>
                <w:rFonts w:hint="eastAsia" w:ascii="宋体" w:hAnsi="宋体" w:eastAsia="宋体" w:cs="宋体"/>
                <w:sz w:val="24"/>
              </w:rPr>
            </w:pPr>
          </w:p>
        </w:tc>
        <w:tc>
          <w:tcPr>
            <w:tcW w:w="705" w:type="dxa"/>
            <w:tcBorders>
              <w:left w:val="single" w:color="auto" w:sz="4" w:space="0"/>
            </w:tcBorders>
          </w:tcPr>
          <w:p w14:paraId="1824B8B9">
            <w:pPr>
              <w:snapToGrid w:val="0"/>
              <w:spacing w:line="400" w:lineRule="exact"/>
              <w:rPr>
                <w:rFonts w:hint="eastAsia" w:ascii="宋体" w:hAnsi="宋体" w:eastAsia="宋体" w:cs="宋体"/>
                <w:sz w:val="24"/>
              </w:rPr>
            </w:pPr>
          </w:p>
        </w:tc>
        <w:tc>
          <w:tcPr>
            <w:tcW w:w="1114" w:type="dxa"/>
            <w:tcBorders>
              <w:right w:val="single" w:color="auto" w:sz="4" w:space="0"/>
            </w:tcBorders>
          </w:tcPr>
          <w:p w14:paraId="53CF56AA">
            <w:pPr>
              <w:snapToGrid w:val="0"/>
              <w:spacing w:line="400" w:lineRule="exact"/>
              <w:rPr>
                <w:rFonts w:hint="eastAsia" w:ascii="宋体" w:hAnsi="宋体" w:eastAsia="宋体" w:cs="宋体"/>
                <w:sz w:val="24"/>
              </w:rPr>
            </w:pPr>
          </w:p>
        </w:tc>
        <w:tc>
          <w:tcPr>
            <w:tcW w:w="1063" w:type="dxa"/>
            <w:tcBorders>
              <w:left w:val="single" w:color="auto" w:sz="4" w:space="0"/>
            </w:tcBorders>
          </w:tcPr>
          <w:p w14:paraId="543CA035">
            <w:pPr>
              <w:snapToGrid w:val="0"/>
              <w:spacing w:line="400" w:lineRule="exact"/>
              <w:rPr>
                <w:rFonts w:hint="eastAsia" w:ascii="宋体" w:hAnsi="宋体" w:eastAsia="宋体" w:cs="宋体"/>
                <w:sz w:val="24"/>
              </w:rPr>
            </w:pPr>
          </w:p>
        </w:tc>
        <w:tc>
          <w:tcPr>
            <w:tcW w:w="2069" w:type="dxa"/>
          </w:tcPr>
          <w:p w14:paraId="34DAF309">
            <w:pPr>
              <w:snapToGrid w:val="0"/>
              <w:spacing w:line="400" w:lineRule="exact"/>
              <w:rPr>
                <w:rFonts w:hint="eastAsia" w:ascii="宋体" w:hAnsi="宋体" w:eastAsia="宋体" w:cs="宋体"/>
                <w:sz w:val="24"/>
              </w:rPr>
            </w:pPr>
          </w:p>
        </w:tc>
      </w:tr>
      <w:tr w14:paraId="4A8E2A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706" w:type="dxa"/>
          </w:tcPr>
          <w:p w14:paraId="7D57B320">
            <w:pPr>
              <w:snapToGrid w:val="0"/>
              <w:spacing w:line="400" w:lineRule="exact"/>
              <w:rPr>
                <w:rFonts w:hint="eastAsia" w:ascii="宋体" w:hAnsi="宋体" w:eastAsia="宋体" w:cs="宋体"/>
                <w:sz w:val="24"/>
              </w:rPr>
            </w:pPr>
          </w:p>
        </w:tc>
        <w:tc>
          <w:tcPr>
            <w:tcW w:w="1967" w:type="dxa"/>
          </w:tcPr>
          <w:p w14:paraId="287FC890">
            <w:pPr>
              <w:snapToGrid w:val="0"/>
              <w:spacing w:line="400" w:lineRule="exact"/>
              <w:rPr>
                <w:rFonts w:hint="eastAsia" w:ascii="宋体" w:hAnsi="宋体" w:eastAsia="宋体" w:cs="宋体"/>
                <w:sz w:val="24"/>
              </w:rPr>
            </w:pPr>
          </w:p>
        </w:tc>
        <w:tc>
          <w:tcPr>
            <w:tcW w:w="991" w:type="dxa"/>
          </w:tcPr>
          <w:p w14:paraId="493E128E">
            <w:pPr>
              <w:snapToGrid w:val="0"/>
              <w:spacing w:line="400" w:lineRule="exact"/>
              <w:rPr>
                <w:rFonts w:hint="eastAsia" w:ascii="宋体" w:hAnsi="宋体" w:eastAsia="宋体" w:cs="宋体"/>
                <w:sz w:val="24"/>
              </w:rPr>
            </w:pPr>
          </w:p>
        </w:tc>
        <w:tc>
          <w:tcPr>
            <w:tcW w:w="706" w:type="dxa"/>
            <w:tcBorders>
              <w:right w:val="single" w:color="auto" w:sz="4" w:space="0"/>
            </w:tcBorders>
          </w:tcPr>
          <w:p w14:paraId="6D5AAE0C">
            <w:pPr>
              <w:snapToGrid w:val="0"/>
              <w:spacing w:line="400" w:lineRule="exact"/>
              <w:rPr>
                <w:rFonts w:hint="eastAsia" w:ascii="宋体" w:hAnsi="宋体" w:eastAsia="宋体" w:cs="宋体"/>
                <w:sz w:val="24"/>
              </w:rPr>
            </w:pPr>
          </w:p>
        </w:tc>
        <w:tc>
          <w:tcPr>
            <w:tcW w:w="705" w:type="dxa"/>
            <w:tcBorders>
              <w:left w:val="single" w:color="auto" w:sz="4" w:space="0"/>
            </w:tcBorders>
          </w:tcPr>
          <w:p w14:paraId="4AD3E1BE">
            <w:pPr>
              <w:snapToGrid w:val="0"/>
              <w:spacing w:line="400" w:lineRule="exact"/>
              <w:rPr>
                <w:rFonts w:hint="eastAsia" w:ascii="宋体" w:hAnsi="宋体" w:eastAsia="宋体" w:cs="宋体"/>
                <w:sz w:val="24"/>
              </w:rPr>
            </w:pPr>
          </w:p>
        </w:tc>
        <w:tc>
          <w:tcPr>
            <w:tcW w:w="1114" w:type="dxa"/>
            <w:tcBorders>
              <w:right w:val="single" w:color="auto" w:sz="4" w:space="0"/>
            </w:tcBorders>
          </w:tcPr>
          <w:p w14:paraId="3D8818B4">
            <w:pPr>
              <w:snapToGrid w:val="0"/>
              <w:spacing w:line="400" w:lineRule="exact"/>
              <w:rPr>
                <w:rFonts w:hint="eastAsia" w:ascii="宋体" w:hAnsi="宋体" w:eastAsia="宋体" w:cs="宋体"/>
                <w:sz w:val="24"/>
              </w:rPr>
            </w:pPr>
          </w:p>
        </w:tc>
        <w:tc>
          <w:tcPr>
            <w:tcW w:w="1063" w:type="dxa"/>
            <w:tcBorders>
              <w:left w:val="single" w:color="auto" w:sz="4" w:space="0"/>
            </w:tcBorders>
          </w:tcPr>
          <w:p w14:paraId="292893B3">
            <w:pPr>
              <w:snapToGrid w:val="0"/>
              <w:spacing w:line="400" w:lineRule="exact"/>
              <w:rPr>
                <w:rFonts w:hint="eastAsia" w:ascii="宋体" w:hAnsi="宋体" w:eastAsia="宋体" w:cs="宋体"/>
                <w:sz w:val="24"/>
              </w:rPr>
            </w:pPr>
          </w:p>
        </w:tc>
        <w:tc>
          <w:tcPr>
            <w:tcW w:w="2069" w:type="dxa"/>
          </w:tcPr>
          <w:p w14:paraId="14B6F97F">
            <w:pPr>
              <w:snapToGrid w:val="0"/>
              <w:spacing w:line="400" w:lineRule="exact"/>
              <w:rPr>
                <w:rFonts w:hint="eastAsia" w:ascii="宋体" w:hAnsi="宋体" w:eastAsia="宋体" w:cs="宋体"/>
                <w:sz w:val="24"/>
              </w:rPr>
            </w:pPr>
          </w:p>
        </w:tc>
      </w:tr>
      <w:tr w14:paraId="3ACBC8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706" w:type="dxa"/>
          </w:tcPr>
          <w:p w14:paraId="4B0E72AA">
            <w:pPr>
              <w:snapToGrid w:val="0"/>
              <w:spacing w:line="400" w:lineRule="exact"/>
              <w:rPr>
                <w:rFonts w:hint="eastAsia" w:ascii="宋体" w:hAnsi="宋体" w:eastAsia="宋体" w:cs="宋体"/>
                <w:sz w:val="24"/>
              </w:rPr>
            </w:pPr>
          </w:p>
        </w:tc>
        <w:tc>
          <w:tcPr>
            <w:tcW w:w="1967" w:type="dxa"/>
          </w:tcPr>
          <w:p w14:paraId="0451C791">
            <w:pPr>
              <w:snapToGrid w:val="0"/>
              <w:spacing w:line="400" w:lineRule="exact"/>
              <w:rPr>
                <w:rFonts w:hint="eastAsia" w:ascii="宋体" w:hAnsi="宋体" w:eastAsia="宋体" w:cs="宋体"/>
                <w:sz w:val="24"/>
              </w:rPr>
            </w:pPr>
          </w:p>
        </w:tc>
        <w:tc>
          <w:tcPr>
            <w:tcW w:w="991" w:type="dxa"/>
          </w:tcPr>
          <w:p w14:paraId="5061B70E">
            <w:pPr>
              <w:snapToGrid w:val="0"/>
              <w:spacing w:line="400" w:lineRule="exact"/>
              <w:rPr>
                <w:rFonts w:hint="eastAsia" w:ascii="宋体" w:hAnsi="宋体" w:eastAsia="宋体" w:cs="宋体"/>
                <w:sz w:val="24"/>
              </w:rPr>
            </w:pPr>
          </w:p>
        </w:tc>
        <w:tc>
          <w:tcPr>
            <w:tcW w:w="706" w:type="dxa"/>
            <w:tcBorders>
              <w:right w:val="single" w:color="auto" w:sz="4" w:space="0"/>
            </w:tcBorders>
          </w:tcPr>
          <w:p w14:paraId="4FB86276">
            <w:pPr>
              <w:snapToGrid w:val="0"/>
              <w:spacing w:line="400" w:lineRule="exact"/>
              <w:rPr>
                <w:rFonts w:hint="eastAsia" w:ascii="宋体" w:hAnsi="宋体" w:eastAsia="宋体" w:cs="宋体"/>
                <w:sz w:val="24"/>
              </w:rPr>
            </w:pPr>
          </w:p>
        </w:tc>
        <w:tc>
          <w:tcPr>
            <w:tcW w:w="705" w:type="dxa"/>
            <w:tcBorders>
              <w:left w:val="single" w:color="auto" w:sz="4" w:space="0"/>
            </w:tcBorders>
          </w:tcPr>
          <w:p w14:paraId="6FA6228E">
            <w:pPr>
              <w:snapToGrid w:val="0"/>
              <w:spacing w:line="400" w:lineRule="exact"/>
              <w:rPr>
                <w:rFonts w:hint="eastAsia" w:ascii="宋体" w:hAnsi="宋体" w:eastAsia="宋体" w:cs="宋体"/>
                <w:sz w:val="24"/>
              </w:rPr>
            </w:pPr>
          </w:p>
        </w:tc>
        <w:tc>
          <w:tcPr>
            <w:tcW w:w="1114" w:type="dxa"/>
            <w:tcBorders>
              <w:right w:val="single" w:color="auto" w:sz="4" w:space="0"/>
            </w:tcBorders>
          </w:tcPr>
          <w:p w14:paraId="53888BAF">
            <w:pPr>
              <w:snapToGrid w:val="0"/>
              <w:spacing w:line="400" w:lineRule="exact"/>
              <w:rPr>
                <w:rFonts w:hint="eastAsia" w:ascii="宋体" w:hAnsi="宋体" w:eastAsia="宋体" w:cs="宋体"/>
                <w:sz w:val="24"/>
              </w:rPr>
            </w:pPr>
          </w:p>
        </w:tc>
        <w:tc>
          <w:tcPr>
            <w:tcW w:w="1063" w:type="dxa"/>
            <w:tcBorders>
              <w:left w:val="single" w:color="auto" w:sz="4" w:space="0"/>
            </w:tcBorders>
          </w:tcPr>
          <w:p w14:paraId="38639A35">
            <w:pPr>
              <w:snapToGrid w:val="0"/>
              <w:spacing w:line="400" w:lineRule="exact"/>
              <w:rPr>
                <w:rFonts w:hint="eastAsia" w:ascii="宋体" w:hAnsi="宋体" w:eastAsia="宋体" w:cs="宋体"/>
                <w:sz w:val="24"/>
              </w:rPr>
            </w:pPr>
          </w:p>
        </w:tc>
        <w:tc>
          <w:tcPr>
            <w:tcW w:w="2069" w:type="dxa"/>
          </w:tcPr>
          <w:p w14:paraId="601FB0BA">
            <w:pPr>
              <w:snapToGrid w:val="0"/>
              <w:spacing w:line="400" w:lineRule="exact"/>
              <w:rPr>
                <w:rFonts w:hint="eastAsia" w:ascii="宋体" w:hAnsi="宋体" w:eastAsia="宋体" w:cs="宋体"/>
                <w:sz w:val="24"/>
              </w:rPr>
            </w:pPr>
          </w:p>
        </w:tc>
      </w:tr>
      <w:tr w14:paraId="144D43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706" w:type="dxa"/>
          </w:tcPr>
          <w:p w14:paraId="36E07CC2">
            <w:pPr>
              <w:snapToGrid w:val="0"/>
              <w:spacing w:line="400" w:lineRule="exact"/>
              <w:rPr>
                <w:rFonts w:hint="eastAsia" w:ascii="宋体" w:hAnsi="宋体" w:eastAsia="宋体" w:cs="宋体"/>
                <w:sz w:val="24"/>
              </w:rPr>
            </w:pPr>
          </w:p>
        </w:tc>
        <w:tc>
          <w:tcPr>
            <w:tcW w:w="1967" w:type="dxa"/>
          </w:tcPr>
          <w:p w14:paraId="5D1EFB9C">
            <w:pPr>
              <w:snapToGrid w:val="0"/>
              <w:spacing w:line="400" w:lineRule="exact"/>
              <w:rPr>
                <w:rFonts w:hint="eastAsia" w:ascii="宋体" w:hAnsi="宋体" w:eastAsia="宋体" w:cs="宋体"/>
                <w:sz w:val="24"/>
              </w:rPr>
            </w:pPr>
          </w:p>
        </w:tc>
        <w:tc>
          <w:tcPr>
            <w:tcW w:w="991" w:type="dxa"/>
          </w:tcPr>
          <w:p w14:paraId="08A78769">
            <w:pPr>
              <w:snapToGrid w:val="0"/>
              <w:spacing w:line="400" w:lineRule="exact"/>
              <w:rPr>
                <w:rFonts w:hint="eastAsia" w:ascii="宋体" w:hAnsi="宋体" w:eastAsia="宋体" w:cs="宋体"/>
                <w:sz w:val="24"/>
              </w:rPr>
            </w:pPr>
          </w:p>
        </w:tc>
        <w:tc>
          <w:tcPr>
            <w:tcW w:w="706" w:type="dxa"/>
            <w:tcBorders>
              <w:right w:val="single" w:color="auto" w:sz="4" w:space="0"/>
            </w:tcBorders>
          </w:tcPr>
          <w:p w14:paraId="1E0284AA">
            <w:pPr>
              <w:snapToGrid w:val="0"/>
              <w:spacing w:line="400" w:lineRule="exact"/>
              <w:rPr>
                <w:rFonts w:hint="eastAsia" w:ascii="宋体" w:hAnsi="宋体" w:eastAsia="宋体" w:cs="宋体"/>
                <w:sz w:val="24"/>
              </w:rPr>
            </w:pPr>
          </w:p>
        </w:tc>
        <w:tc>
          <w:tcPr>
            <w:tcW w:w="705" w:type="dxa"/>
            <w:tcBorders>
              <w:left w:val="single" w:color="auto" w:sz="4" w:space="0"/>
            </w:tcBorders>
          </w:tcPr>
          <w:p w14:paraId="61A8261A">
            <w:pPr>
              <w:snapToGrid w:val="0"/>
              <w:spacing w:line="400" w:lineRule="exact"/>
              <w:rPr>
                <w:rFonts w:hint="eastAsia" w:ascii="宋体" w:hAnsi="宋体" w:eastAsia="宋体" w:cs="宋体"/>
                <w:sz w:val="24"/>
              </w:rPr>
            </w:pPr>
          </w:p>
        </w:tc>
        <w:tc>
          <w:tcPr>
            <w:tcW w:w="1114" w:type="dxa"/>
            <w:tcBorders>
              <w:right w:val="single" w:color="auto" w:sz="4" w:space="0"/>
            </w:tcBorders>
          </w:tcPr>
          <w:p w14:paraId="0ACAA411">
            <w:pPr>
              <w:snapToGrid w:val="0"/>
              <w:spacing w:line="400" w:lineRule="exact"/>
              <w:rPr>
                <w:rFonts w:hint="eastAsia" w:ascii="宋体" w:hAnsi="宋体" w:eastAsia="宋体" w:cs="宋体"/>
                <w:sz w:val="24"/>
              </w:rPr>
            </w:pPr>
          </w:p>
        </w:tc>
        <w:tc>
          <w:tcPr>
            <w:tcW w:w="1063" w:type="dxa"/>
            <w:tcBorders>
              <w:left w:val="single" w:color="auto" w:sz="4" w:space="0"/>
            </w:tcBorders>
          </w:tcPr>
          <w:p w14:paraId="1B04D3E1">
            <w:pPr>
              <w:snapToGrid w:val="0"/>
              <w:spacing w:line="400" w:lineRule="exact"/>
              <w:rPr>
                <w:rFonts w:hint="eastAsia" w:ascii="宋体" w:hAnsi="宋体" w:eastAsia="宋体" w:cs="宋体"/>
                <w:sz w:val="24"/>
              </w:rPr>
            </w:pPr>
          </w:p>
        </w:tc>
        <w:tc>
          <w:tcPr>
            <w:tcW w:w="2069" w:type="dxa"/>
          </w:tcPr>
          <w:p w14:paraId="23411EF4">
            <w:pPr>
              <w:snapToGrid w:val="0"/>
              <w:spacing w:line="400" w:lineRule="exact"/>
              <w:rPr>
                <w:rFonts w:hint="eastAsia" w:ascii="宋体" w:hAnsi="宋体" w:eastAsia="宋体" w:cs="宋体"/>
                <w:sz w:val="24"/>
              </w:rPr>
            </w:pPr>
          </w:p>
        </w:tc>
      </w:tr>
      <w:tr w14:paraId="24AFD1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8" w:hRule="atLeast"/>
        </w:trPr>
        <w:tc>
          <w:tcPr>
            <w:tcW w:w="9321" w:type="dxa"/>
            <w:gridSpan w:val="8"/>
          </w:tcPr>
          <w:p w14:paraId="7329C678">
            <w:pPr>
              <w:snapToGrid w:val="0"/>
              <w:spacing w:line="400" w:lineRule="exact"/>
              <w:rPr>
                <w:rFonts w:hint="eastAsia" w:ascii="宋体" w:hAnsi="宋体" w:eastAsia="宋体" w:cs="宋体"/>
                <w:sz w:val="24"/>
              </w:rPr>
            </w:pPr>
            <w:r>
              <w:rPr>
                <w:rFonts w:hint="eastAsia" w:ascii="宋体" w:hAnsi="宋体" w:eastAsia="宋体" w:cs="宋体"/>
                <w:sz w:val="24"/>
              </w:rPr>
              <w:t>合计（大写）：                               元（¥</w:t>
            </w:r>
            <w:r>
              <w:rPr>
                <w:rFonts w:hint="eastAsia" w:ascii="宋体" w:hAnsi="宋体" w:eastAsia="宋体" w:cs="宋体"/>
                <w:sz w:val="24"/>
                <w:u w:val="single"/>
              </w:rPr>
              <w:t xml:space="preserve">                  </w:t>
            </w:r>
            <w:r>
              <w:rPr>
                <w:rFonts w:hint="eastAsia" w:ascii="宋体" w:hAnsi="宋体" w:eastAsia="宋体" w:cs="宋体"/>
                <w:sz w:val="24"/>
              </w:rPr>
              <w:t xml:space="preserve">元）                       </w:t>
            </w:r>
          </w:p>
        </w:tc>
      </w:tr>
    </w:tbl>
    <w:p w14:paraId="07F7537C">
      <w:pPr>
        <w:overflowPunct w:val="0"/>
        <w:adjustRightInd w:val="0"/>
        <w:snapToGrid w:val="0"/>
        <w:spacing w:line="460" w:lineRule="exact"/>
        <w:ind w:firstLine="482" w:firstLineChars="200"/>
        <w:rPr>
          <w:rFonts w:hint="eastAsia" w:ascii="宋体" w:hAnsi="宋体" w:eastAsia="宋体" w:cs="宋体"/>
          <w:b/>
          <w:bCs/>
          <w:kern w:val="0"/>
          <w:sz w:val="24"/>
        </w:rPr>
      </w:pPr>
      <w:bookmarkStart w:id="4" w:name="_Toc31275"/>
      <w:bookmarkStart w:id="5" w:name="_Toc11652"/>
      <w:r>
        <w:rPr>
          <w:rFonts w:hint="eastAsia" w:ascii="宋体" w:hAnsi="宋体" w:eastAsia="宋体" w:cs="宋体"/>
          <w:b/>
          <w:bCs/>
          <w:kern w:val="0"/>
          <w:sz w:val="24"/>
        </w:rPr>
        <w:t>2.合同价格</w:t>
      </w:r>
      <w:bookmarkEnd w:id="4"/>
      <w:bookmarkEnd w:id="5"/>
    </w:p>
    <w:p w14:paraId="364A63C3">
      <w:pPr>
        <w:tabs>
          <w:tab w:val="left" w:pos="1701"/>
        </w:tabs>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合同总价：人民币（大写）</w:t>
      </w:r>
      <w:r>
        <w:rPr>
          <w:rFonts w:hint="eastAsia" w:ascii="宋体" w:hAnsi="宋体" w:eastAsia="宋体" w:cs="宋体"/>
          <w:kern w:val="0"/>
          <w:sz w:val="24"/>
          <w:u w:val="single"/>
        </w:rPr>
        <w:t xml:space="preserve">           </w:t>
      </w:r>
      <w:r>
        <w:rPr>
          <w:rFonts w:hint="eastAsia" w:ascii="宋体" w:hAnsi="宋体" w:eastAsia="宋体" w:cs="宋体"/>
          <w:kern w:val="0"/>
          <w:sz w:val="24"/>
        </w:rPr>
        <w:t>元（¥</w:t>
      </w:r>
      <w:r>
        <w:rPr>
          <w:rFonts w:hint="eastAsia" w:ascii="宋体" w:hAnsi="宋体" w:eastAsia="宋体" w:cs="宋体"/>
          <w:kern w:val="0"/>
          <w:sz w:val="24"/>
          <w:u w:val="single"/>
        </w:rPr>
        <w:t xml:space="preserve">           </w:t>
      </w:r>
      <w:r>
        <w:rPr>
          <w:rFonts w:hint="eastAsia" w:ascii="宋体" w:hAnsi="宋体" w:eastAsia="宋体" w:cs="宋体"/>
          <w:kern w:val="0"/>
          <w:sz w:val="24"/>
        </w:rPr>
        <w:t>元）。</w:t>
      </w:r>
    </w:p>
    <w:p w14:paraId="5EE1EDA7">
      <w:pPr>
        <w:tabs>
          <w:tab w:val="left" w:pos="1701"/>
        </w:tabs>
        <w:overflowPunct w:val="0"/>
        <w:adjustRightInd w:val="0"/>
        <w:snapToGrid w:val="0"/>
        <w:spacing w:line="460" w:lineRule="exact"/>
        <w:ind w:firstLine="480" w:firstLineChars="200"/>
        <w:rPr>
          <w:rFonts w:hint="eastAsia" w:ascii="宋体" w:hAnsi="宋体" w:eastAsia="宋体" w:cs="宋体"/>
          <w:kern w:val="0"/>
          <w:sz w:val="24"/>
          <w:shd w:val="clear" w:color="auto" w:fill="FFFFFF"/>
        </w:rPr>
      </w:pPr>
      <w:r>
        <w:rPr>
          <w:rFonts w:hint="eastAsia" w:ascii="宋体" w:hAnsi="宋体" w:eastAsia="宋体" w:cs="宋体"/>
          <w:kern w:val="0"/>
          <w:sz w:val="24"/>
          <w:shd w:val="clear" w:color="auto" w:fill="FFFFFF"/>
        </w:rPr>
        <w:t>2.1合同总价为甲方指定地点的交货价，包含但不限于设备、包装、运输、安装、调试、培训、质保、税金、关税（进口产品）等费用。</w:t>
      </w:r>
    </w:p>
    <w:p w14:paraId="1C671A41">
      <w:pPr>
        <w:tabs>
          <w:tab w:val="left" w:pos="1701"/>
        </w:tabs>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2.2合同为总价合同，不受市场价格变化的影响。</w:t>
      </w:r>
    </w:p>
    <w:p w14:paraId="25624E5D">
      <w:pPr>
        <w:tabs>
          <w:tab w:val="left" w:pos="1701"/>
        </w:tabs>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3.支付约定</w:t>
      </w:r>
    </w:p>
    <w:p w14:paraId="186F433D">
      <w:pPr>
        <w:tabs>
          <w:tab w:val="left" w:pos="1701"/>
        </w:tabs>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 xml:space="preserve">（1）本次采购无预付款。 </w:t>
      </w:r>
    </w:p>
    <w:p w14:paraId="78976404">
      <w:pPr>
        <w:tabs>
          <w:tab w:val="left" w:pos="1701"/>
        </w:tabs>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（2）经项目管理单位验收合格，一次性支付合同总价款的100%。</w:t>
      </w:r>
    </w:p>
    <w:p w14:paraId="2A23F29E">
      <w:pPr>
        <w:tabs>
          <w:tab w:val="left" w:pos="1701"/>
        </w:tabs>
        <w:overflowPunct w:val="0"/>
        <w:adjustRightInd w:val="0"/>
        <w:snapToGrid w:val="0"/>
        <w:spacing w:line="460" w:lineRule="exact"/>
        <w:ind w:firstLine="480" w:firstLineChars="200"/>
        <w:rPr>
          <w:rFonts w:hint="eastAsia" w:ascii="宋体" w:hAnsi="宋体" w:eastAsia="宋体" w:cs="宋体"/>
          <w:kern w:val="0"/>
          <w:sz w:val="24"/>
        </w:rPr>
      </w:pPr>
      <w:bookmarkStart w:id="40" w:name="_GoBack"/>
      <w:bookmarkEnd w:id="40"/>
      <w:r>
        <w:rPr>
          <w:rFonts w:hint="eastAsia" w:ascii="宋体" w:hAnsi="宋体" w:eastAsia="宋体" w:cs="宋体"/>
          <w:kern w:val="0"/>
          <w:sz w:val="24"/>
        </w:rPr>
        <w:t>（3）结算单位：由甲方负责结算，乙方开具合同总价数的全额发票交采购人 ，达到付款条件起 5 日内，支付合同总金额的 100.00%。</w:t>
      </w:r>
    </w:p>
    <w:p w14:paraId="401F64A6">
      <w:pPr>
        <w:overflowPunct w:val="0"/>
        <w:adjustRightInd w:val="0"/>
        <w:snapToGrid w:val="0"/>
        <w:spacing w:line="460" w:lineRule="exact"/>
        <w:ind w:firstLine="482"/>
        <w:rPr>
          <w:rFonts w:hint="eastAsia" w:ascii="宋体" w:hAnsi="宋体" w:eastAsia="宋体" w:cs="宋体"/>
          <w:b/>
          <w:bCs/>
          <w:kern w:val="0"/>
          <w:sz w:val="24"/>
        </w:rPr>
      </w:pPr>
      <w:bookmarkStart w:id="6" w:name="_Toc31149"/>
      <w:bookmarkStart w:id="7" w:name="_Toc19087"/>
      <w:r>
        <w:rPr>
          <w:rFonts w:hint="eastAsia" w:ascii="宋体" w:hAnsi="宋体" w:eastAsia="宋体" w:cs="宋体"/>
          <w:b/>
          <w:bCs/>
          <w:kern w:val="0"/>
          <w:sz w:val="24"/>
        </w:rPr>
        <w:t>4.甲乙双方的权利和义务</w:t>
      </w:r>
      <w:bookmarkEnd w:id="6"/>
      <w:bookmarkEnd w:id="7"/>
    </w:p>
    <w:p w14:paraId="0F651890">
      <w:pPr>
        <w:tabs>
          <w:tab w:val="left" w:pos="1701"/>
        </w:tabs>
        <w:overflowPunct w:val="0"/>
        <w:adjustRightInd w:val="0"/>
        <w:snapToGrid w:val="0"/>
        <w:spacing w:line="460" w:lineRule="exact"/>
        <w:ind w:firstLine="480" w:firstLineChars="200"/>
        <w:rPr>
          <w:rFonts w:hint="eastAsia" w:ascii="宋体" w:hAnsi="宋体" w:eastAsia="宋体" w:cs="宋体"/>
          <w:kern w:val="0"/>
          <w:sz w:val="24"/>
          <w:shd w:val="clear" w:color="auto" w:fill="FFFFFF"/>
        </w:rPr>
      </w:pPr>
      <w:r>
        <w:rPr>
          <w:rFonts w:hint="eastAsia" w:ascii="宋体" w:hAnsi="宋体" w:eastAsia="宋体" w:cs="宋体"/>
          <w:kern w:val="0"/>
          <w:sz w:val="24"/>
          <w:shd w:val="clear" w:color="auto" w:fill="FFFFFF"/>
        </w:rPr>
        <w:t>4.1甲方的权利和义务</w:t>
      </w:r>
    </w:p>
    <w:p w14:paraId="346C0123">
      <w:pPr>
        <w:tabs>
          <w:tab w:val="left" w:pos="1701"/>
        </w:tabs>
        <w:overflowPunct w:val="0"/>
        <w:adjustRightInd w:val="0"/>
        <w:snapToGrid w:val="0"/>
        <w:spacing w:line="460" w:lineRule="exact"/>
        <w:ind w:firstLine="480" w:firstLineChars="200"/>
        <w:rPr>
          <w:rFonts w:hint="eastAsia" w:ascii="宋体" w:hAnsi="宋体" w:eastAsia="宋体" w:cs="宋体"/>
          <w:kern w:val="0"/>
          <w:sz w:val="24"/>
          <w:shd w:val="clear" w:color="auto" w:fill="FFFFFF"/>
        </w:rPr>
      </w:pPr>
      <w:r>
        <w:rPr>
          <w:rFonts w:hint="eastAsia" w:ascii="宋体" w:hAnsi="宋体" w:eastAsia="宋体" w:cs="宋体"/>
          <w:kern w:val="0"/>
          <w:sz w:val="24"/>
          <w:shd w:val="clear" w:color="auto" w:fill="FFFFFF"/>
        </w:rPr>
        <w:t>4.1.1负责合同签订后项目实施的工作（包括与乙方的具体联系和衔接，现场安装调试时配备人员进行监管控制等）；</w:t>
      </w:r>
    </w:p>
    <w:p w14:paraId="2E7477BA">
      <w:pPr>
        <w:overflowPunct w:val="0"/>
        <w:adjustRightInd w:val="0"/>
        <w:snapToGrid w:val="0"/>
        <w:spacing w:line="460" w:lineRule="exact"/>
        <w:ind w:firstLine="480" w:firstLineChars="200"/>
        <w:rPr>
          <w:rFonts w:hint="eastAsia" w:ascii="宋体" w:hAnsi="宋体" w:eastAsia="宋体" w:cs="宋体"/>
          <w:kern w:val="0"/>
          <w:sz w:val="24"/>
          <w:shd w:val="clear" w:color="auto" w:fill="FFFFFF"/>
        </w:rPr>
      </w:pPr>
      <w:r>
        <w:rPr>
          <w:rFonts w:hint="eastAsia" w:ascii="宋体" w:hAnsi="宋体" w:eastAsia="宋体" w:cs="宋体"/>
          <w:kern w:val="0"/>
          <w:sz w:val="24"/>
          <w:shd w:val="clear" w:color="auto" w:fill="FFFFFF"/>
        </w:rPr>
        <w:t>4.1.2负责提供设备和项目安装调试所必须的场地和环境；</w:t>
      </w:r>
    </w:p>
    <w:p w14:paraId="4521F682">
      <w:pPr>
        <w:overflowPunct w:val="0"/>
        <w:adjustRightInd w:val="0"/>
        <w:snapToGrid w:val="0"/>
        <w:spacing w:line="460" w:lineRule="exact"/>
        <w:ind w:firstLine="480" w:firstLineChars="200"/>
        <w:rPr>
          <w:rFonts w:hint="eastAsia" w:ascii="宋体" w:hAnsi="宋体" w:eastAsia="宋体" w:cs="宋体"/>
          <w:kern w:val="0"/>
          <w:sz w:val="24"/>
          <w:shd w:val="clear" w:color="auto" w:fill="FFFFFF"/>
        </w:rPr>
      </w:pPr>
      <w:r>
        <w:rPr>
          <w:rFonts w:hint="eastAsia" w:ascii="宋体" w:hAnsi="宋体" w:eastAsia="宋体" w:cs="宋体"/>
          <w:kern w:val="0"/>
          <w:sz w:val="24"/>
          <w:shd w:val="clear" w:color="auto" w:fill="FFFFFF"/>
        </w:rPr>
        <w:t>4.1.3负责组织成立验收小组对设备和项目进行验收并签署验收报告；</w:t>
      </w:r>
    </w:p>
    <w:p w14:paraId="42FAAE32">
      <w:pPr>
        <w:overflowPunct w:val="0"/>
        <w:adjustRightInd w:val="0"/>
        <w:snapToGrid w:val="0"/>
        <w:spacing w:line="460" w:lineRule="exact"/>
        <w:ind w:firstLine="480" w:firstLineChars="200"/>
        <w:rPr>
          <w:rFonts w:hint="eastAsia" w:ascii="宋体" w:hAnsi="宋体" w:eastAsia="宋体" w:cs="宋体"/>
          <w:kern w:val="0"/>
          <w:sz w:val="24"/>
          <w:shd w:val="clear" w:color="auto" w:fill="FFFFFF"/>
        </w:rPr>
      </w:pPr>
      <w:r>
        <w:rPr>
          <w:rFonts w:hint="eastAsia" w:ascii="宋体" w:hAnsi="宋体" w:eastAsia="宋体" w:cs="宋体"/>
          <w:kern w:val="0"/>
          <w:sz w:val="24"/>
          <w:shd w:val="clear" w:color="auto" w:fill="FFFFFF"/>
        </w:rPr>
        <w:t>4.1.4 按合同规定享有乙方提供的设备服务。</w:t>
      </w:r>
    </w:p>
    <w:p w14:paraId="25F98D41">
      <w:pPr>
        <w:tabs>
          <w:tab w:val="left" w:pos="1701"/>
        </w:tabs>
        <w:overflowPunct w:val="0"/>
        <w:adjustRightInd w:val="0"/>
        <w:snapToGrid w:val="0"/>
        <w:spacing w:line="460" w:lineRule="exact"/>
        <w:ind w:firstLine="480" w:firstLineChars="200"/>
        <w:rPr>
          <w:rFonts w:hint="eastAsia" w:ascii="宋体" w:hAnsi="宋体" w:eastAsia="宋体" w:cs="宋体"/>
          <w:kern w:val="0"/>
          <w:sz w:val="24"/>
          <w:shd w:val="clear" w:color="auto" w:fill="FFFFFF"/>
        </w:rPr>
      </w:pPr>
      <w:r>
        <w:rPr>
          <w:rFonts w:hint="eastAsia" w:ascii="宋体" w:hAnsi="宋体" w:eastAsia="宋体" w:cs="宋体"/>
          <w:kern w:val="0"/>
          <w:sz w:val="24"/>
          <w:shd w:val="clear" w:color="auto" w:fill="FFFFFF"/>
        </w:rPr>
        <w:t>4.2乙方的权利和义务</w:t>
      </w:r>
    </w:p>
    <w:p w14:paraId="71ACCF53">
      <w:pPr>
        <w:overflowPunct w:val="0"/>
        <w:adjustRightInd w:val="0"/>
        <w:snapToGrid w:val="0"/>
        <w:spacing w:line="460" w:lineRule="exact"/>
        <w:ind w:firstLine="480" w:firstLineChars="200"/>
        <w:rPr>
          <w:rFonts w:hint="eastAsia" w:ascii="宋体" w:hAnsi="宋体" w:eastAsia="宋体" w:cs="宋体"/>
          <w:kern w:val="0"/>
          <w:sz w:val="24"/>
          <w:shd w:val="clear" w:color="auto" w:fill="FFFFFF"/>
        </w:rPr>
      </w:pPr>
      <w:r>
        <w:rPr>
          <w:rFonts w:hint="eastAsia" w:ascii="宋体" w:hAnsi="宋体" w:eastAsia="宋体" w:cs="宋体"/>
          <w:kern w:val="0"/>
          <w:sz w:val="24"/>
          <w:shd w:val="clear" w:color="auto" w:fill="FFFFFF"/>
        </w:rPr>
        <w:t>4.2.1乙方保证按本合同约定负责完成甲方项目，并保证提供的设备是全新（包括零部件</w:t>
      </w:r>
      <w:r>
        <w:rPr>
          <w:rFonts w:hint="eastAsia" w:ascii="宋体" w:hAnsi="宋体" w:eastAsia="宋体" w:cs="宋体"/>
          <w:kern w:val="0"/>
          <w:sz w:val="24"/>
          <w:shd w:val="clear" w:color="auto" w:fill="FFFFFF"/>
          <w:lang w:eastAsia="zh-CN"/>
        </w:rPr>
        <w:t>、</w:t>
      </w:r>
      <w:r>
        <w:rPr>
          <w:rFonts w:hint="eastAsia" w:ascii="宋体" w:hAnsi="宋体" w:eastAsia="宋体" w:cs="宋体"/>
          <w:kern w:val="0"/>
          <w:sz w:val="24"/>
          <w:shd w:val="clear" w:color="auto" w:fill="FFFFFF"/>
          <w:lang w:val="en-US" w:eastAsia="zh-CN"/>
        </w:rPr>
        <w:t>及附属配件</w:t>
      </w:r>
      <w:r>
        <w:rPr>
          <w:rFonts w:hint="eastAsia" w:ascii="宋体" w:hAnsi="宋体" w:eastAsia="宋体" w:cs="宋体"/>
          <w:kern w:val="0"/>
          <w:sz w:val="24"/>
          <w:shd w:val="clear" w:color="auto" w:fill="FFFFFF"/>
        </w:rPr>
        <w:t>），符合招投标文件规定，具有国家有关部门注册证明并符合国家质量检测标准（进口产品具有国家有关部门完整手续）和产品出厂标准的设备，并保证设备在甲方报废前正常运行。</w:t>
      </w:r>
    </w:p>
    <w:p w14:paraId="0D9AA5C1">
      <w:pPr>
        <w:overflowPunct w:val="0"/>
        <w:adjustRightInd w:val="0"/>
        <w:snapToGrid w:val="0"/>
        <w:spacing w:line="460" w:lineRule="exact"/>
        <w:ind w:firstLine="480" w:firstLineChars="200"/>
        <w:rPr>
          <w:rFonts w:hint="eastAsia" w:ascii="宋体" w:hAnsi="宋体" w:eastAsia="宋体" w:cs="宋体"/>
          <w:kern w:val="0"/>
          <w:sz w:val="24"/>
          <w:shd w:val="clear" w:color="auto" w:fill="FFFFFF"/>
        </w:rPr>
      </w:pPr>
      <w:r>
        <w:rPr>
          <w:rFonts w:hint="eastAsia" w:ascii="宋体" w:hAnsi="宋体" w:eastAsia="宋体" w:cs="宋体"/>
          <w:kern w:val="0"/>
          <w:sz w:val="24"/>
          <w:shd w:val="clear" w:color="auto" w:fill="FFFFFF"/>
        </w:rPr>
        <w:t>4.2.2乙方保证对其出售的货物享有合法的权利，保证对其出售的货物上不存在任何未曾向甲方透露的担保物权，如抵押权、质押权、留置权。</w:t>
      </w:r>
    </w:p>
    <w:p w14:paraId="00D5A7AC">
      <w:pPr>
        <w:overflowPunct w:val="0"/>
        <w:adjustRightInd w:val="0"/>
        <w:snapToGrid w:val="0"/>
        <w:spacing w:line="460" w:lineRule="exact"/>
        <w:ind w:firstLine="480" w:firstLineChars="200"/>
        <w:rPr>
          <w:rFonts w:hint="default" w:ascii="宋体" w:hAnsi="宋体" w:eastAsia="宋体" w:cs="宋体"/>
          <w:kern w:val="0"/>
          <w:sz w:val="24"/>
          <w:shd w:val="clear" w:color="auto" w:fill="FFFFFF"/>
          <w:lang w:val="en-US" w:eastAsia="zh-CN"/>
        </w:rPr>
      </w:pPr>
      <w:r>
        <w:rPr>
          <w:rFonts w:hint="eastAsia" w:ascii="宋体" w:hAnsi="宋体" w:eastAsia="宋体" w:cs="宋体"/>
          <w:kern w:val="0"/>
          <w:sz w:val="24"/>
          <w:shd w:val="clear" w:color="auto" w:fill="FFFFFF"/>
        </w:rPr>
        <w:t>4.2.3乙方保证甲方在合同设备（有配套软件的还包括软件产品）使用期间不受第三方提出侵犯其专利权、版权、商标权、工业设计权等的起诉</w:t>
      </w:r>
      <w:r>
        <w:rPr>
          <w:rFonts w:hint="eastAsia" w:ascii="宋体" w:hAnsi="宋体" w:eastAsia="宋体" w:cs="宋体"/>
          <w:kern w:val="0"/>
          <w:sz w:val="24"/>
          <w:shd w:val="clear" w:color="auto" w:fill="FFFFFF"/>
          <w:lang w:eastAsia="zh-CN"/>
        </w:rPr>
        <w:t>，</w:t>
      </w:r>
      <w:r>
        <w:rPr>
          <w:rFonts w:hint="eastAsia" w:ascii="宋体" w:hAnsi="宋体" w:eastAsia="宋体" w:cs="宋体"/>
          <w:kern w:val="0"/>
          <w:sz w:val="24"/>
          <w:shd w:val="clear" w:color="auto" w:fill="FFFFFF"/>
          <w:lang w:val="en-US" w:eastAsia="zh-CN"/>
        </w:rPr>
        <w:t>设备交付后所有权为甲方。</w:t>
      </w:r>
    </w:p>
    <w:p w14:paraId="1F8E1AB2">
      <w:pPr>
        <w:overflowPunct w:val="0"/>
        <w:adjustRightInd w:val="0"/>
        <w:snapToGrid w:val="0"/>
        <w:spacing w:line="460" w:lineRule="exact"/>
        <w:ind w:firstLine="480" w:firstLineChars="200"/>
        <w:rPr>
          <w:rFonts w:hint="eastAsia" w:ascii="宋体" w:hAnsi="宋体" w:eastAsia="宋体" w:cs="宋体"/>
          <w:kern w:val="0"/>
          <w:sz w:val="24"/>
          <w:shd w:val="clear" w:color="auto" w:fill="FFFFFF"/>
        </w:rPr>
      </w:pPr>
      <w:r>
        <w:rPr>
          <w:rFonts w:hint="eastAsia" w:ascii="宋体" w:hAnsi="宋体" w:eastAsia="宋体" w:cs="宋体"/>
          <w:kern w:val="0"/>
          <w:sz w:val="24"/>
          <w:shd w:val="clear" w:color="auto" w:fill="FFFFFF"/>
        </w:rPr>
        <w:t>4.2.4 严格遵守商务谈判中所承诺的一切规定和条款。</w:t>
      </w:r>
    </w:p>
    <w:p w14:paraId="29A2F4C2">
      <w:pPr>
        <w:overflowPunct w:val="0"/>
        <w:adjustRightInd w:val="0"/>
        <w:snapToGrid w:val="0"/>
        <w:spacing w:line="460" w:lineRule="exact"/>
        <w:ind w:firstLine="480" w:firstLineChars="200"/>
        <w:rPr>
          <w:rFonts w:hint="default" w:ascii="宋体" w:hAnsi="宋体" w:eastAsia="宋体" w:cs="宋体"/>
          <w:kern w:val="0"/>
          <w:sz w:val="24"/>
          <w:shd w:val="clear" w:color="auto" w:fill="FFFFFF"/>
          <w:lang w:val="en-US" w:eastAsia="zh-CN"/>
        </w:rPr>
      </w:pPr>
      <w:r>
        <w:rPr>
          <w:rFonts w:hint="eastAsia" w:ascii="宋体" w:hAnsi="宋体" w:eastAsia="宋体" w:cs="宋体"/>
          <w:kern w:val="0"/>
          <w:sz w:val="24"/>
          <w:shd w:val="clear" w:color="auto" w:fill="FFFFFF"/>
        </w:rPr>
        <w:t>4.2.5 参与设备和项目的验收</w:t>
      </w:r>
      <w:r>
        <w:rPr>
          <w:rFonts w:hint="eastAsia" w:ascii="宋体" w:hAnsi="宋体" w:eastAsia="宋体" w:cs="宋体"/>
          <w:kern w:val="0"/>
          <w:sz w:val="24"/>
          <w:shd w:val="clear" w:color="auto" w:fill="FFFFFF"/>
          <w:lang w:eastAsia="zh-CN"/>
        </w:rPr>
        <w:t>，</w:t>
      </w:r>
      <w:r>
        <w:rPr>
          <w:rFonts w:hint="eastAsia" w:ascii="宋体" w:hAnsi="宋体" w:eastAsia="宋体" w:cs="宋体"/>
          <w:kern w:val="0"/>
          <w:sz w:val="24"/>
          <w:shd w:val="clear" w:color="auto" w:fill="FFFFFF"/>
          <w:lang w:val="en-US" w:eastAsia="zh-CN"/>
        </w:rPr>
        <w:t>并对设备的使用进行培训。</w:t>
      </w:r>
    </w:p>
    <w:p w14:paraId="6B949080">
      <w:pPr>
        <w:overflowPunct w:val="0"/>
        <w:adjustRightInd w:val="0"/>
        <w:snapToGrid w:val="0"/>
        <w:spacing w:line="460" w:lineRule="exact"/>
        <w:ind w:firstLine="482"/>
        <w:rPr>
          <w:rFonts w:hint="eastAsia" w:ascii="宋体" w:hAnsi="宋体" w:eastAsia="宋体" w:cs="宋体"/>
          <w:b/>
          <w:bCs/>
          <w:kern w:val="0"/>
          <w:sz w:val="24"/>
        </w:rPr>
      </w:pPr>
      <w:bookmarkStart w:id="8" w:name="_Toc5778"/>
      <w:bookmarkStart w:id="9" w:name="_Toc23311"/>
      <w:r>
        <w:rPr>
          <w:rFonts w:hint="eastAsia" w:ascii="宋体" w:hAnsi="宋体" w:eastAsia="宋体" w:cs="宋体"/>
          <w:b/>
          <w:bCs/>
          <w:kern w:val="0"/>
          <w:sz w:val="24"/>
        </w:rPr>
        <w:t>5.产品功能要求</w:t>
      </w:r>
      <w:bookmarkEnd w:id="8"/>
      <w:bookmarkEnd w:id="9"/>
    </w:p>
    <w:p w14:paraId="3D7874C6">
      <w:pPr>
        <w:tabs>
          <w:tab w:val="left" w:pos="1701"/>
        </w:tabs>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（1）产品功能符合国家质量检测标准，并满足甲方技术要求。</w:t>
      </w:r>
    </w:p>
    <w:p w14:paraId="5124B24F">
      <w:pPr>
        <w:tabs>
          <w:tab w:val="left" w:pos="1701"/>
        </w:tabs>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（2）本文件中供应商也称投标人，采购文件也称招标文件。</w:t>
      </w:r>
    </w:p>
    <w:p w14:paraId="07D96D80">
      <w:pPr>
        <w:overflowPunct w:val="0"/>
        <w:adjustRightInd w:val="0"/>
        <w:snapToGrid w:val="0"/>
        <w:spacing w:line="460" w:lineRule="exact"/>
        <w:ind w:firstLine="482"/>
        <w:rPr>
          <w:rFonts w:hint="eastAsia" w:ascii="宋体" w:hAnsi="宋体" w:eastAsia="宋体" w:cs="宋体"/>
          <w:b/>
          <w:bCs/>
          <w:kern w:val="0"/>
          <w:sz w:val="24"/>
        </w:rPr>
      </w:pPr>
      <w:bookmarkStart w:id="10" w:name="_Toc19004"/>
      <w:bookmarkStart w:id="11" w:name="_Toc3077"/>
      <w:r>
        <w:rPr>
          <w:rFonts w:hint="eastAsia" w:ascii="宋体" w:hAnsi="宋体" w:eastAsia="宋体" w:cs="宋体"/>
          <w:b/>
          <w:bCs/>
          <w:kern w:val="0"/>
          <w:sz w:val="24"/>
        </w:rPr>
        <w:t>6.配套设备要求及长期供应优惠条件</w:t>
      </w:r>
      <w:bookmarkEnd w:id="10"/>
      <w:bookmarkEnd w:id="11"/>
    </w:p>
    <w:p w14:paraId="3B4A7116">
      <w:pPr>
        <w:overflowPunct w:val="0"/>
        <w:adjustRightInd w:val="0"/>
        <w:snapToGrid w:val="0"/>
        <w:spacing w:line="460" w:lineRule="exact"/>
        <w:rPr>
          <w:rFonts w:hint="eastAsia" w:ascii="宋体" w:hAnsi="宋体" w:eastAsia="宋体" w:cs="宋体"/>
          <w:kern w:val="0"/>
          <w:sz w:val="24"/>
        </w:rPr>
      </w:pPr>
      <w:r>
        <w:rPr>
          <w:rFonts w:hint="eastAsia" w:ascii="宋体" w:hAnsi="宋体" w:eastAsia="宋体" w:cs="宋体"/>
          <w:kern w:val="0"/>
          <w:sz w:val="24"/>
        </w:rPr>
        <w:t xml:space="preserve">    若甲方系统需要改造或扩容，所需的设备乙方以不高于合同约定的单价提供。在保修期外，对于系统内出现故障的硬件和软件，乙方承诺及时修复或更换且只收取工作的成本费。</w:t>
      </w:r>
    </w:p>
    <w:p w14:paraId="31E12B90">
      <w:pPr>
        <w:overflowPunct w:val="0"/>
        <w:adjustRightInd w:val="0"/>
        <w:snapToGrid w:val="0"/>
        <w:spacing w:line="460" w:lineRule="exact"/>
        <w:ind w:firstLine="482"/>
        <w:rPr>
          <w:rFonts w:hint="eastAsia" w:ascii="宋体" w:hAnsi="宋体" w:eastAsia="宋体" w:cs="宋体"/>
          <w:b/>
          <w:bCs/>
          <w:kern w:val="0"/>
          <w:sz w:val="24"/>
        </w:rPr>
      </w:pPr>
      <w:bookmarkStart w:id="12" w:name="_Toc629"/>
      <w:bookmarkStart w:id="13" w:name="_Toc21406"/>
      <w:r>
        <w:rPr>
          <w:rFonts w:hint="eastAsia" w:ascii="宋体" w:hAnsi="宋体" w:eastAsia="宋体" w:cs="宋体"/>
          <w:b/>
          <w:bCs/>
          <w:kern w:val="0"/>
          <w:sz w:val="24"/>
        </w:rPr>
        <w:t>7.备品备件（含易损件）要求及长期供应优惠条件</w:t>
      </w:r>
      <w:bookmarkEnd w:id="12"/>
      <w:bookmarkEnd w:id="13"/>
    </w:p>
    <w:p w14:paraId="26511399">
      <w:pPr>
        <w:overflowPunct w:val="0"/>
        <w:adjustRightInd w:val="0"/>
        <w:snapToGrid w:val="0"/>
        <w:spacing w:line="460" w:lineRule="exact"/>
        <w:rPr>
          <w:rFonts w:hint="eastAsia" w:ascii="宋体" w:hAnsi="宋体" w:eastAsia="宋体" w:cs="宋体"/>
          <w:kern w:val="0"/>
          <w:sz w:val="24"/>
        </w:rPr>
      </w:pPr>
      <w:r>
        <w:rPr>
          <w:rFonts w:hint="eastAsia" w:ascii="宋体" w:hAnsi="宋体" w:eastAsia="宋体" w:cs="宋体"/>
          <w:kern w:val="0"/>
          <w:sz w:val="24"/>
        </w:rPr>
        <w:t xml:space="preserve">    乙方严格按照招投标文件执行并确保满足甲方需要，具体要求详见招投标文件和本合同附件：供货清单。乙方同时承诺：乙方向甲方提供的备品备件（含易损件）不高于市场同类产品的价格。</w:t>
      </w:r>
    </w:p>
    <w:p w14:paraId="0F6997B9">
      <w:pPr>
        <w:overflowPunct w:val="0"/>
        <w:adjustRightInd w:val="0"/>
        <w:snapToGrid w:val="0"/>
        <w:spacing w:line="460" w:lineRule="exact"/>
        <w:ind w:firstLine="482"/>
        <w:rPr>
          <w:rFonts w:hint="eastAsia" w:ascii="宋体" w:hAnsi="宋体" w:eastAsia="宋体" w:cs="宋体"/>
          <w:b/>
          <w:bCs/>
          <w:kern w:val="0"/>
          <w:sz w:val="24"/>
        </w:rPr>
      </w:pPr>
      <w:bookmarkStart w:id="14" w:name="_Toc12574"/>
      <w:bookmarkStart w:id="15" w:name="_Toc16387"/>
      <w:r>
        <w:rPr>
          <w:rFonts w:hint="eastAsia" w:ascii="宋体" w:hAnsi="宋体" w:eastAsia="宋体" w:cs="宋体"/>
          <w:b/>
          <w:bCs/>
          <w:kern w:val="0"/>
          <w:sz w:val="24"/>
        </w:rPr>
        <w:t>8.包装、标记和运输</w:t>
      </w:r>
      <w:bookmarkEnd w:id="14"/>
      <w:bookmarkEnd w:id="15"/>
    </w:p>
    <w:p w14:paraId="60EE3E17">
      <w:pPr>
        <w:overflowPunct w:val="0"/>
        <w:adjustRightInd w:val="0"/>
        <w:snapToGrid w:val="0"/>
        <w:spacing w:line="460" w:lineRule="exact"/>
        <w:ind w:firstLine="480" w:firstLineChars="200"/>
        <w:rPr>
          <w:rFonts w:hint="eastAsia" w:ascii="宋体" w:hAnsi="宋体" w:eastAsia="宋体" w:cs="宋体"/>
          <w:sz w:val="24"/>
        </w:rPr>
      </w:pPr>
      <w:r>
        <w:rPr>
          <w:rFonts w:hint="eastAsia" w:ascii="宋体" w:hAnsi="宋体" w:eastAsia="宋体" w:cs="宋体"/>
          <w:sz w:val="24"/>
        </w:rPr>
        <w:t>8.1 乙方交付的所有合同货物应具有适于长途运输多次搬运和装卸的坚固包装，并且乙方应根据合同货物的不同特性和要求采取防潮、防雨、防锈、防震、防腐等保护措施，以确保合同货物安全无损地送达交货地点。</w:t>
      </w:r>
    </w:p>
    <w:p w14:paraId="2ED0E6CD">
      <w:pPr>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8.2 下列资料包装在合同货物的包装箱中：</w:t>
      </w:r>
    </w:p>
    <w:p w14:paraId="1F331646">
      <w:pPr>
        <w:overflowPunct w:val="0"/>
        <w:adjustRightInd w:val="0"/>
        <w:snapToGrid w:val="0"/>
        <w:spacing w:line="460" w:lineRule="exact"/>
        <w:ind w:firstLine="480" w:firstLineChars="200"/>
        <w:rPr>
          <w:rFonts w:hint="eastAsia" w:ascii="宋体" w:hAnsi="宋体" w:eastAsia="宋体" w:cs="宋体"/>
          <w:sz w:val="24"/>
        </w:rPr>
      </w:pPr>
      <w:r>
        <w:rPr>
          <w:rFonts w:hint="eastAsia" w:ascii="宋体" w:hAnsi="宋体" w:eastAsia="宋体" w:cs="宋体"/>
          <w:sz w:val="24"/>
        </w:rPr>
        <w:t>8.2.1 装箱单。</w:t>
      </w:r>
    </w:p>
    <w:p w14:paraId="05EA4011">
      <w:pPr>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8.2.2 合同货物数量和货物制造商出具的质量合格证书、保修证书。</w:t>
      </w:r>
    </w:p>
    <w:p w14:paraId="06A88E57">
      <w:pPr>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8.2.3 随机备品备件、配件、工具、图纸、使用说明书及其它必要的技术资料（中文）。</w:t>
      </w:r>
    </w:p>
    <w:p w14:paraId="0B6961FF">
      <w:pPr>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8.3 乙方对合同货物包装不善、标记不明、防护措施不当或在合同货物装箱前保管不良，致使合同货物遭到损坏或丢失，乙方应负责免费修理或更换，并承担由此给甲方造成的一切损失。</w:t>
      </w:r>
    </w:p>
    <w:p w14:paraId="64E12490">
      <w:pPr>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8.4 货物（产品）运输方式：</w:t>
      </w:r>
      <w:r>
        <w:rPr>
          <w:rFonts w:hint="eastAsia" w:ascii="宋体" w:hAnsi="宋体" w:eastAsia="宋体" w:cs="宋体"/>
          <w:kern w:val="0"/>
          <w:sz w:val="24"/>
          <w:u w:val="single"/>
        </w:rPr>
        <w:t xml:space="preserve">                 </w:t>
      </w:r>
      <w:r>
        <w:rPr>
          <w:rFonts w:hint="eastAsia" w:ascii="宋体" w:hAnsi="宋体" w:eastAsia="宋体" w:cs="宋体"/>
          <w:kern w:val="0"/>
          <w:sz w:val="24"/>
        </w:rPr>
        <w:t>。</w:t>
      </w:r>
    </w:p>
    <w:p w14:paraId="2C44999B">
      <w:pPr>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8.5 乙方负责货物（产品）运输，货物运输的合理损耗及计算方法</w:t>
      </w:r>
      <w:r>
        <w:rPr>
          <w:rFonts w:hint="eastAsia" w:ascii="宋体" w:hAnsi="宋体" w:eastAsia="宋体" w:cs="宋体"/>
          <w:kern w:val="0"/>
          <w:sz w:val="24"/>
          <w:u w:val="single"/>
        </w:rPr>
        <w:t xml:space="preserve">        </w:t>
      </w:r>
      <w:r>
        <w:rPr>
          <w:rFonts w:hint="eastAsia" w:ascii="宋体" w:hAnsi="宋体" w:eastAsia="宋体" w:cs="宋体"/>
          <w:kern w:val="0"/>
          <w:sz w:val="24"/>
        </w:rPr>
        <w:t>。</w:t>
      </w:r>
    </w:p>
    <w:p w14:paraId="5EC59B5C">
      <w:pPr>
        <w:overflowPunct w:val="0"/>
        <w:adjustRightInd w:val="0"/>
        <w:snapToGrid w:val="0"/>
        <w:spacing w:line="460" w:lineRule="exact"/>
        <w:ind w:firstLine="482"/>
        <w:rPr>
          <w:rFonts w:hint="eastAsia" w:ascii="宋体" w:hAnsi="宋体" w:eastAsia="宋体" w:cs="宋体"/>
          <w:b/>
          <w:bCs/>
          <w:kern w:val="0"/>
          <w:sz w:val="24"/>
        </w:rPr>
      </w:pPr>
      <w:bookmarkStart w:id="16" w:name="_Toc9580"/>
      <w:bookmarkStart w:id="17" w:name="_Toc16421"/>
      <w:r>
        <w:rPr>
          <w:rFonts w:hint="eastAsia" w:ascii="宋体" w:hAnsi="宋体" w:eastAsia="宋体" w:cs="宋体"/>
          <w:b/>
          <w:bCs/>
          <w:kern w:val="0"/>
          <w:sz w:val="24"/>
        </w:rPr>
        <w:t>9.交货</w:t>
      </w:r>
      <w:bookmarkEnd w:id="16"/>
      <w:bookmarkEnd w:id="17"/>
    </w:p>
    <w:p w14:paraId="5DE60045">
      <w:pPr>
        <w:overflowPunct w:val="0"/>
        <w:adjustRightInd w:val="0"/>
        <w:snapToGrid w:val="0"/>
        <w:spacing w:line="460" w:lineRule="exact"/>
        <w:ind w:firstLine="480" w:firstLineChars="200"/>
        <w:rPr>
          <w:rFonts w:hint="eastAsia" w:ascii="宋体" w:hAnsi="宋体" w:eastAsia="宋体" w:cs="宋体"/>
          <w:sz w:val="24"/>
        </w:rPr>
      </w:pPr>
      <w:r>
        <w:rPr>
          <w:rFonts w:hint="eastAsia" w:ascii="宋体" w:hAnsi="宋体" w:eastAsia="宋体" w:cs="宋体"/>
          <w:sz w:val="24"/>
        </w:rPr>
        <w:t>9.1 交货地点：甲方指定地点。</w:t>
      </w:r>
    </w:p>
    <w:p w14:paraId="5BA54DD4">
      <w:pPr>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9.2 交货日期：</w:t>
      </w:r>
      <w:r>
        <w:rPr>
          <w:rFonts w:hint="eastAsia" w:ascii="宋体" w:hAnsi="宋体" w:eastAsia="宋体" w:cs="宋体"/>
          <w:kern w:val="0"/>
          <w:sz w:val="24"/>
          <w:u w:val="single"/>
        </w:rPr>
        <w:t xml:space="preserve">     </w:t>
      </w:r>
      <w:r>
        <w:rPr>
          <w:rFonts w:hint="eastAsia" w:ascii="宋体" w:hAnsi="宋体" w:eastAsia="宋体" w:cs="宋体"/>
          <w:kern w:val="0"/>
          <w:sz w:val="24"/>
        </w:rPr>
        <w:t>年</w:t>
      </w:r>
      <w:r>
        <w:rPr>
          <w:rFonts w:hint="eastAsia" w:ascii="宋体" w:hAnsi="宋体" w:eastAsia="宋体" w:cs="宋体"/>
          <w:kern w:val="0"/>
          <w:sz w:val="24"/>
          <w:u w:val="single"/>
        </w:rPr>
        <w:t xml:space="preserve">   </w:t>
      </w:r>
      <w:r>
        <w:rPr>
          <w:rFonts w:hint="eastAsia" w:ascii="宋体" w:hAnsi="宋体" w:eastAsia="宋体" w:cs="宋体"/>
          <w:kern w:val="0"/>
          <w:sz w:val="24"/>
        </w:rPr>
        <w:t>月</w:t>
      </w:r>
      <w:r>
        <w:rPr>
          <w:rFonts w:hint="eastAsia" w:ascii="宋体" w:hAnsi="宋体" w:eastAsia="宋体" w:cs="宋体"/>
          <w:kern w:val="0"/>
          <w:sz w:val="24"/>
          <w:u w:val="single"/>
        </w:rPr>
        <w:t xml:space="preserve">   </w:t>
      </w:r>
      <w:r>
        <w:rPr>
          <w:rFonts w:hint="eastAsia" w:ascii="宋体" w:hAnsi="宋体" w:eastAsia="宋体" w:cs="宋体"/>
          <w:kern w:val="0"/>
          <w:sz w:val="24"/>
        </w:rPr>
        <w:t>日。</w:t>
      </w:r>
    </w:p>
    <w:p w14:paraId="6FA79408">
      <w:pPr>
        <w:tabs>
          <w:tab w:val="left" w:pos="567"/>
        </w:tabs>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9.3乙方负责将完整配套的原封设备（含开机必要消耗品）送到交货地点，由甲乙双方共同开箱初验，并由乙方按合同规范要求完成安装测试。交货时，乙方随货向甲方交付设备必需的合格证、保修卡、相关资料（如操作手册、使用指南、维修手册、系统使用说明书、服务手册等）及配备的附件、工具等。进口产品还需交付中国商检证明及合法进货渠道全套单证。</w:t>
      </w:r>
    </w:p>
    <w:p w14:paraId="0AE6E4D4">
      <w:pPr>
        <w:tabs>
          <w:tab w:val="left" w:pos="709"/>
        </w:tabs>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9.4 交货时甲方对乙方承诺的产品包装的环保材料进行验收，必要时乙方需提供检测报告，甲方发现虚假承诺时，将扣除总货款的5%作为处罚。</w:t>
      </w:r>
    </w:p>
    <w:p w14:paraId="56E55E79">
      <w:pPr>
        <w:overflowPunct w:val="0"/>
        <w:adjustRightInd w:val="0"/>
        <w:snapToGrid w:val="0"/>
        <w:spacing w:line="460" w:lineRule="exact"/>
        <w:ind w:firstLine="482"/>
        <w:rPr>
          <w:rFonts w:hint="eastAsia" w:ascii="宋体" w:hAnsi="宋体" w:eastAsia="宋体" w:cs="宋体"/>
          <w:b/>
          <w:bCs/>
          <w:kern w:val="0"/>
          <w:sz w:val="24"/>
        </w:rPr>
      </w:pPr>
      <w:bookmarkStart w:id="18" w:name="_Toc4864"/>
      <w:bookmarkStart w:id="19" w:name="_Toc25880"/>
      <w:r>
        <w:rPr>
          <w:rFonts w:hint="eastAsia" w:ascii="宋体" w:hAnsi="宋体" w:eastAsia="宋体" w:cs="宋体"/>
          <w:b/>
          <w:bCs/>
          <w:kern w:val="0"/>
          <w:sz w:val="24"/>
        </w:rPr>
        <w:t>10.质量保证</w:t>
      </w:r>
      <w:bookmarkEnd w:id="18"/>
      <w:bookmarkEnd w:id="19"/>
    </w:p>
    <w:p w14:paraId="38663068">
      <w:pPr>
        <w:tabs>
          <w:tab w:val="left" w:pos="810"/>
        </w:tabs>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10.1自设备验收合格后，货物（产品）的原厂质保期为</w:t>
      </w:r>
      <w:r>
        <w:rPr>
          <w:rFonts w:hint="eastAsia" w:ascii="宋体" w:hAnsi="宋体" w:eastAsia="宋体" w:cs="宋体"/>
          <w:kern w:val="0"/>
          <w:sz w:val="24"/>
          <w:u w:val="single"/>
        </w:rPr>
        <w:t xml:space="preserve">   </w:t>
      </w:r>
      <w:r>
        <w:rPr>
          <w:rFonts w:hint="eastAsia" w:ascii="宋体" w:hAnsi="宋体" w:eastAsia="宋体" w:cs="宋体"/>
          <w:kern w:val="0"/>
          <w:sz w:val="24"/>
        </w:rPr>
        <w:t>年；投标人的售后服务期为</w:t>
      </w:r>
      <w:r>
        <w:rPr>
          <w:rFonts w:hint="eastAsia" w:ascii="宋体" w:hAnsi="宋体" w:eastAsia="宋体" w:cs="宋体"/>
          <w:kern w:val="0"/>
          <w:sz w:val="24"/>
          <w:u w:val="single"/>
        </w:rPr>
        <w:t xml:space="preserve">     </w:t>
      </w:r>
      <w:r>
        <w:rPr>
          <w:rFonts w:hint="eastAsia" w:ascii="宋体" w:hAnsi="宋体" w:eastAsia="宋体" w:cs="宋体"/>
          <w:kern w:val="0"/>
          <w:sz w:val="24"/>
        </w:rPr>
        <w:t>年(含质保期)，质保期内乙方提供免费维修，售后服务期间内甲方支付材料费。</w:t>
      </w:r>
    </w:p>
    <w:p w14:paraId="435BE790">
      <w:pPr>
        <w:tabs>
          <w:tab w:val="left" w:pos="810"/>
        </w:tabs>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10.2货物必须是原厂生产的未曾使用过的全新的合格产品，所用材料必须保证质量可靠、原材料进货渠道正规，符合国家质量性能检测标准及该产品的出厂标准。</w:t>
      </w:r>
    </w:p>
    <w:p w14:paraId="37CF5ABA">
      <w:pPr>
        <w:tabs>
          <w:tab w:val="left" w:pos="810"/>
          <w:tab w:val="left" w:pos="993"/>
        </w:tabs>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10.3</w:t>
      </w:r>
      <w:r>
        <w:rPr>
          <w:rFonts w:hint="eastAsia" w:ascii="宋体" w:hAnsi="宋体" w:eastAsia="宋体" w:cs="宋体"/>
          <w:kern w:val="0"/>
          <w:sz w:val="24"/>
        </w:rPr>
        <w:tab/>
      </w:r>
      <w:r>
        <w:rPr>
          <w:rFonts w:hint="eastAsia" w:ascii="宋体" w:hAnsi="宋体" w:eastAsia="宋体" w:cs="宋体"/>
          <w:kern w:val="0"/>
          <w:sz w:val="24"/>
        </w:rPr>
        <w:t xml:space="preserve"> 质量标准按照最新颁布的国家标准、行业标准或制造商企业标准确定，上述标准不一致的，以严格标准为准。</w:t>
      </w:r>
    </w:p>
    <w:p w14:paraId="28D85C20">
      <w:pPr>
        <w:tabs>
          <w:tab w:val="left" w:pos="810"/>
        </w:tabs>
        <w:overflowPunct w:val="0"/>
        <w:adjustRightInd w:val="0"/>
        <w:snapToGrid w:val="0"/>
        <w:spacing w:line="460" w:lineRule="exact"/>
        <w:ind w:firstLine="120" w:firstLineChars="50"/>
        <w:rPr>
          <w:rFonts w:hint="eastAsia" w:ascii="宋体" w:hAnsi="宋体" w:eastAsia="宋体" w:cs="宋体"/>
          <w:kern w:val="0"/>
          <w:sz w:val="24"/>
        </w:rPr>
      </w:pPr>
      <w:r>
        <w:rPr>
          <w:rFonts w:hint="eastAsia" w:ascii="宋体" w:hAnsi="宋体" w:eastAsia="宋体" w:cs="宋体"/>
          <w:kern w:val="0"/>
          <w:sz w:val="24"/>
        </w:rPr>
        <w:t xml:space="preserve">   10.4 货物参数指标必须与其标示的技术指标项符合，甲方有权在货物的有效质保期内依据技术指标对该货物进行技术校验，其主要的技术参数达不到标准时，甲方将按本合同第13条相关条款执行。</w:t>
      </w:r>
    </w:p>
    <w:p w14:paraId="0F530734">
      <w:pPr>
        <w:tabs>
          <w:tab w:val="left" w:pos="810"/>
        </w:tabs>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10.5 乙方所提供货物还应符合国家和陕西省有关安全、环保、节能之规定，“3C”认证的货物（产品）应加贴“3C”认证标志。</w:t>
      </w:r>
    </w:p>
    <w:p w14:paraId="7F48059E">
      <w:pPr>
        <w:tabs>
          <w:tab w:val="left" w:pos="810"/>
        </w:tabs>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10.6 货物制造质量出现问题，乙方应负责三包（包修、包换、包退），费用由乙方负担。</w:t>
      </w:r>
    </w:p>
    <w:p w14:paraId="090C734A">
      <w:pPr>
        <w:tabs>
          <w:tab w:val="left" w:pos="810"/>
        </w:tabs>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 xml:space="preserve">10.7 质量保修范围和保修期：所投产品整机1年的上门保修、更换零配件，所涉及的费用由供应商承担，终身维修。保修期内7×24小时技术响应，2小时响应，24小时内维修工程师到达维修现场。72小时以内完成采购人提出的售后服务要求。保修期自验收合格之日起计算。  </w:t>
      </w:r>
    </w:p>
    <w:p w14:paraId="3DAF9F25">
      <w:pPr>
        <w:overflowPunct w:val="0"/>
        <w:adjustRightInd w:val="0"/>
        <w:snapToGrid w:val="0"/>
        <w:spacing w:line="460" w:lineRule="exact"/>
        <w:ind w:firstLine="482"/>
        <w:rPr>
          <w:rFonts w:hint="eastAsia" w:ascii="宋体" w:hAnsi="宋体" w:eastAsia="宋体" w:cs="宋体"/>
          <w:b/>
          <w:bCs/>
          <w:kern w:val="0"/>
          <w:sz w:val="24"/>
        </w:rPr>
      </w:pPr>
      <w:bookmarkStart w:id="20" w:name="_Toc14336"/>
      <w:bookmarkStart w:id="21" w:name="_Toc30488"/>
      <w:r>
        <w:rPr>
          <w:rFonts w:hint="eastAsia" w:ascii="宋体" w:hAnsi="宋体" w:eastAsia="宋体" w:cs="宋体"/>
          <w:b/>
          <w:bCs/>
          <w:kern w:val="0"/>
          <w:sz w:val="24"/>
        </w:rPr>
        <w:t>11.验收及验收标准</w:t>
      </w:r>
      <w:bookmarkEnd w:id="20"/>
      <w:bookmarkEnd w:id="21"/>
    </w:p>
    <w:p w14:paraId="1579304D">
      <w:pPr>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 xml:space="preserve">供应商提供的服务必须符合国家标准、行业标准以及企业标准。供应商承诺的服务条款必须与磋商时提供的完全一致，不存在任何偏差。如出现不一致，供应商将承担违约责任。验收工作由采购人负责对该服务进行验收，必要时其他相关人员到场协同验收。供应商所提供的服务必须具有合法手续及相关文件。如涉及知识产权则必须是供应商自己拥有或合法使用的。 </w:t>
      </w:r>
    </w:p>
    <w:p w14:paraId="653EB5FD">
      <w:pPr>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11.1货物验收由甲方组织，乙方配合，并按下列程序进行：</w:t>
      </w:r>
    </w:p>
    <w:p w14:paraId="31D897B5">
      <w:pPr>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11.1.1货物初验：乙方应在货物到货之日起</w:t>
      </w:r>
      <w:r>
        <w:rPr>
          <w:rFonts w:hint="eastAsia" w:ascii="宋体" w:hAnsi="宋体" w:eastAsia="宋体" w:cs="宋体"/>
          <w:kern w:val="0"/>
          <w:sz w:val="24"/>
          <w:u w:val="single"/>
        </w:rPr>
        <w:t xml:space="preserve">   </w:t>
      </w:r>
      <w:r>
        <w:rPr>
          <w:rFonts w:hint="eastAsia" w:ascii="宋体" w:hAnsi="宋体" w:eastAsia="宋体" w:cs="宋体"/>
          <w:kern w:val="0"/>
          <w:sz w:val="24"/>
        </w:rPr>
        <w:t>日内全部完成安装调试完毕；乙方安装调试完毕后</w:t>
      </w:r>
      <w:r>
        <w:rPr>
          <w:rFonts w:hint="eastAsia" w:ascii="宋体" w:hAnsi="宋体" w:eastAsia="宋体" w:cs="宋体"/>
          <w:kern w:val="0"/>
          <w:sz w:val="24"/>
          <w:u w:val="single"/>
        </w:rPr>
        <w:t xml:space="preserve">   </w:t>
      </w:r>
      <w:r>
        <w:rPr>
          <w:rFonts w:hint="eastAsia" w:ascii="宋体" w:hAnsi="宋体" w:eastAsia="宋体" w:cs="宋体"/>
          <w:kern w:val="0"/>
          <w:sz w:val="24"/>
        </w:rPr>
        <w:t>日内完成初步验收；初步验收合格后，进入</w:t>
      </w:r>
      <w:r>
        <w:rPr>
          <w:rFonts w:hint="eastAsia" w:ascii="宋体" w:hAnsi="宋体" w:eastAsia="宋体" w:cs="宋体"/>
          <w:kern w:val="0"/>
          <w:sz w:val="24"/>
          <w:u w:val="single"/>
        </w:rPr>
        <w:t xml:space="preserve">   </w:t>
      </w:r>
      <w:r>
        <w:rPr>
          <w:rFonts w:hint="eastAsia" w:ascii="宋体" w:hAnsi="宋体" w:eastAsia="宋体" w:cs="宋体"/>
          <w:kern w:val="0"/>
          <w:sz w:val="24"/>
        </w:rPr>
        <w:t>日试用期；试用期间发生重大质量问题，修复后试用期相应顺延。</w:t>
      </w:r>
    </w:p>
    <w:p w14:paraId="5D40CAB3">
      <w:pPr>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11.1.2 货物终验：试用期结束后</w:t>
      </w:r>
      <w:r>
        <w:rPr>
          <w:rFonts w:hint="eastAsia" w:ascii="宋体" w:hAnsi="宋体" w:eastAsia="宋体" w:cs="宋体"/>
          <w:kern w:val="0"/>
          <w:sz w:val="24"/>
          <w:u w:val="single"/>
        </w:rPr>
        <w:t xml:space="preserve">   </w:t>
      </w:r>
      <w:r>
        <w:rPr>
          <w:rFonts w:hint="eastAsia" w:ascii="宋体" w:hAnsi="宋体" w:eastAsia="宋体" w:cs="宋体"/>
          <w:kern w:val="0"/>
          <w:sz w:val="24"/>
        </w:rPr>
        <w:t>日内完成最终验收。</w:t>
      </w:r>
    </w:p>
    <w:p w14:paraId="19AD2DF7">
      <w:pPr>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11.1.3 质量验收合格，双方签署质量验收报告。</w:t>
      </w:r>
    </w:p>
    <w:p w14:paraId="23C916A7">
      <w:pPr>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11.2 货物验收依据：</w:t>
      </w:r>
    </w:p>
    <w:p w14:paraId="7476C7CD">
      <w:pPr>
        <w:overflowPunct w:val="0"/>
        <w:adjustRightInd w:val="0"/>
        <w:snapToGrid w:val="0"/>
        <w:spacing w:line="460" w:lineRule="exact"/>
        <w:ind w:firstLine="480" w:firstLineChars="200"/>
        <w:rPr>
          <w:rFonts w:hint="eastAsia" w:ascii="宋体" w:hAnsi="宋体" w:eastAsia="宋体" w:cs="宋体"/>
          <w:sz w:val="24"/>
        </w:rPr>
      </w:pPr>
      <w:r>
        <w:rPr>
          <w:rFonts w:hint="eastAsia" w:ascii="宋体" w:hAnsi="宋体" w:eastAsia="宋体" w:cs="宋体"/>
          <w:sz w:val="24"/>
        </w:rPr>
        <w:t>11.2.1 采购合同及补充协议；</w:t>
      </w:r>
    </w:p>
    <w:p w14:paraId="0BDBFA16">
      <w:pPr>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11.2.2 质检部门抽样检查货物（产品）合格的检测报告（按甲方要求）。</w:t>
      </w:r>
    </w:p>
    <w:p w14:paraId="1115E627">
      <w:pPr>
        <w:overflowPunct w:val="0"/>
        <w:adjustRightInd w:val="0"/>
        <w:snapToGrid w:val="0"/>
        <w:spacing w:line="460" w:lineRule="exact"/>
        <w:ind w:firstLine="480" w:firstLineChars="200"/>
        <w:rPr>
          <w:rFonts w:hint="eastAsia" w:ascii="宋体" w:hAnsi="宋体" w:eastAsia="宋体" w:cs="宋体"/>
          <w:sz w:val="24"/>
        </w:rPr>
      </w:pPr>
      <w:r>
        <w:rPr>
          <w:rFonts w:hint="eastAsia" w:ascii="宋体" w:hAnsi="宋体" w:eastAsia="宋体" w:cs="宋体"/>
          <w:sz w:val="24"/>
        </w:rPr>
        <w:t>11.2.3 招标文件；</w:t>
      </w:r>
    </w:p>
    <w:p w14:paraId="102B1693">
      <w:pPr>
        <w:overflowPunct w:val="0"/>
        <w:adjustRightInd w:val="0"/>
        <w:snapToGrid w:val="0"/>
        <w:spacing w:line="460" w:lineRule="exact"/>
        <w:ind w:firstLine="480" w:firstLineChars="200"/>
        <w:rPr>
          <w:rFonts w:hint="eastAsia" w:ascii="宋体" w:hAnsi="宋体" w:eastAsia="宋体" w:cs="宋体"/>
          <w:sz w:val="24"/>
        </w:rPr>
      </w:pPr>
      <w:r>
        <w:rPr>
          <w:rFonts w:hint="eastAsia" w:ascii="宋体" w:hAnsi="宋体" w:eastAsia="宋体" w:cs="宋体"/>
          <w:sz w:val="24"/>
        </w:rPr>
        <w:t>11.2.4 投标文件。</w:t>
      </w:r>
    </w:p>
    <w:p w14:paraId="600DC5EA">
      <w:pPr>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11.3 货物验收时发现问题的处理办法：</w:t>
      </w:r>
    </w:p>
    <w:p w14:paraId="0B6E8AE9">
      <w:pPr>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11.3.1 乙方提供不符合招标文件和本合同规定的货物（产品），甲方有权拒绝接受；</w:t>
      </w:r>
    </w:p>
    <w:p w14:paraId="2AD3CB83">
      <w:pPr>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11.3.2 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14:paraId="1A332347">
      <w:pPr>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11.3.4 如货物经乙方</w:t>
      </w:r>
      <w:r>
        <w:rPr>
          <w:rFonts w:hint="eastAsia" w:ascii="宋体" w:hAnsi="宋体" w:eastAsia="宋体" w:cs="宋体"/>
          <w:kern w:val="0"/>
          <w:sz w:val="24"/>
          <w:u w:val="single"/>
        </w:rPr>
        <w:t xml:space="preserve">   </w:t>
      </w:r>
      <w:r>
        <w:rPr>
          <w:rFonts w:hint="eastAsia" w:ascii="宋体" w:hAnsi="宋体" w:eastAsia="宋体" w:cs="宋体"/>
          <w:kern w:val="0"/>
          <w:sz w:val="24"/>
        </w:rPr>
        <w:t>次维修仍不能达到合同约定的质量标准，甲方有权退货，并视作乙方不能交付货物而须支付违约赔偿金给甲方，甲方还可依法追究乙方的违约责任； </w:t>
      </w:r>
    </w:p>
    <w:p w14:paraId="36DD2798">
      <w:pPr>
        <w:tabs>
          <w:tab w:val="left" w:pos="426"/>
        </w:tabs>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11.3.5</w:t>
      </w:r>
      <w:r>
        <w:rPr>
          <w:rFonts w:hint="eastAsia" w:ascii="宋体" w:hAnsi="宋体" w:eastAsia="宋体" w:cs="宋体"/>
          <w:kern w:val="0"/>
          <w:sz w:val="24"/>
        </w:rPr>
        <w:tab/>
      </w:r>
      <w:r>
        <w:rPr>
          <w:rFonts w:hint="eastAsia" w:ascii="宋体" w:hAnsi="宋体" w:eastAsia="宋体" w:cs="宋体"/>
          <w:kern w:val="0"/>
          <w:sz w:val="24"/>
        </w:rPr>
        <w:t>货物安装完成后</w:t>
      </w:r>
      <w:r>
        <w:rPr>
          <w:rFonts w:hint="eastAsia" w:ascii="宋体" w:hAnsi="宋体" w:eastAsia="宋体" w:cs="宋体"/>
          <w:kern w:val="0"/>
          <w:sz w:val="24"/>
          <w:u w:val="single"/>
        </w:rPr>
        <w:t xml:space="preserve">  </w:t>
      </w:r>
      <w:r>
        <w:rPr>
          <w:rFonts w:hint="eastAsia" w:ascii="宋体" w:hAnsi="宋体" w:eastAsia="宋体" w:cs="宋体"/>
          <w:kern w:val="0"/>
          <w:sz w:val="24"/>
        </w:rPr>
        <w:t>日内，甲方无故不进行验收工作并已使用货物的，视同已安装调试完成并验收合格；</w:t>
      </w:r>
    </w:p>
    <w:p w14:paraId="5D44D306">
      <w:pPr>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11.3.6 乙方不能完整交付货物及本条第一款规定的单证和工具的，必须负责补齐，否则视为未按合同约定交货；</w:t>
      </w:r>
    </w:p>
    <w:p w14:paraId="34608118">
      <w:pPr>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 xml:space="preserve">11.3.7  </w:t>
      </w:r>
      <w:r>
        <w:rPr>
          <w:rFonts w:hint="eastAsia" w:ascii="宋体" w:hAnsi="宋体" w:eastAsia="宋体" w:cs="宋体"/>
          <w:kern w:val="0"/>
          <w:sz w:val="24"/>
          <w:u w:val="single"/>
        </w:rPr>
        <w:t xml:space="preserve">                                    </w:t>
      </w:r>
      <w:r>
        <w:rPr>
          <w:rFonts w:hint="eastAsia" w:ascii="宋体" w:hAnsi="宋体" w:eastAsia="宋体" w:cs="宋体"/>
          <w:kern w:val="0"/>
          <w:sz w:val="24"/>
        </w:rPr>
        <w:t>。</w:t>
      </w:r>
    </w:p>
    <w:p w14:paraId="75454F7B">
      <w:pPr>
        <w:overflowPunct w:val="0"/>
        <w:adjustRightInd w:val="0"/>
        <w:snapToGrid w:val="0"/>
        <w:spacing w:line="460" w:lineRule="exact"/>
        <w:ind w:firstLine="482"/>
        <w:rPr>
          <w:rFonts w:hint="eastAsia" w:ascii="宋体" w:hAnsi="宋体" w:eastAsia="宋体" w:cs="宋体"/>
          <w:b/>
          <w:bCs/>
          <w:kern w:val="0"/>
          <w:sz w:val="24"/>
        </w:rPr>
      </w:pPr>
      <w:bookmarkStart w:id="22" w:name="_Toc4718"/>
      <w:bookmarkStart w:id="23" w:name="_Toc29064"/>
      <w:r>
        <w:rPr>
          <w:rFonts w:hint="eastAsia" w:ascii="宋体" w:hAnsi="宋体" w:eastAsia="宋体" w:cs="宋体"/>
          <w:b/>
          <w:bCs/>
          <w:kern w:val="0"/>
          <w:sz w:val="24"/>
        </w:rPr>
        <w:t>12.技术培训</w:t>
      </w:r>
      <w:bookmarkEnd w:id="22"/>
      <w:bookmarkEnd w:id="23"/>
    </w:p>
    <w:p w14:paraId="7F0712BF">
      <w:pPr>
        <w:overflowPunct w:val="0"/>
        <w:adjustRightInd w:val="0"/>
        <w:snapToGrid w:val="0"/>
        <w:spacing w:line="460" w:lineRule="exact"/>
        <w:ind w:firstLine="480" w:firstLineChars="200"/>
        <w:rPr>
          <w:rFonts w:hint="eastAsia" w:ascii="宋体" w:hAnsi="宋体" w:eastAsia="宋体" w:cs="宋体"/>
          <w:kern w:val="0"/>
          <w:sz w:val="24"/>
          <w:shd w:val="clear" w:color="auto" w:fill="FFFFFF"/>
        </w:rPr>
      </w:pPr>
      <w:r>
        <w:rPr>
          <w:rFonts w:hint="eastAsia" w:ascii="宋体" w:hAnsi="宋体" w:eastAsia="宋体" w:cs="宋体"/>
          <w:kern w:val="0"/>
          <w:sz w:val="24"/>
          <w:shd w:val="clear" w:color="auto" w:fill="FFFFFF"/>
        </w:rPr>
        <w:t>乙方向甲方提供</w:t>
      </w:r>
      <w:r>
        <w:rPr>
          <w:rFonts w:hint="eastAsia" w:ascii="宋体" w:hAnsi="宋体" w:eastAsia="宋体" w:cs="宋体"/>
          <w:kern w:val="0"/>
          <w:sz w:val="24"/>
          <w:u w:val="single"/>
          <w:shd w:val="clear" w:color="auto" w:fill="FFFFFF"/>
        </w:rPr>
        <w:t xml:space="preserve">  </w:t>
      </w:r>
      <w:r>
        <w:rPr>
          <w:rFonts w:hint="eastAsia" w:ascii="宋体" w:hAnsi="宋体" w:eastAsia="宋体" w:cs="宋体"/>
          <w:kern w:val="0"/>
          <w:sz w:val="24"/>
          <w:shd w:val="clear" w:color="auto" w:fill="FFFFFF"/>
        </w:rPr>
        <w:t>天的设备使用人员现场例行免费培训，培训内容包括设备的使用、一般的维修、维护及保养等；食宿自理（各自负责）；其他由甲乙双方协定。</w:t>
      </w:r>
    </w:p>
    <w:p w14:paraId="4D672D56">
      <w:pPr>
        <w:overflowPunct w:val="0"/>
        <w:adjustRightInd w:val="0"/>
        <w:snapToGrid w:val="0"/>
        <w:spacing w:line="460" w:lineRule="exact"/>
        <w:ind w:firstLine="482"/>
        <w:rPr>
          <w:rFonts w:hint="eastAsia" w:ascii="宋体" w:hAnsi="宋体" w:eastAsia="宋体" w:cs="宋体"/>
          <w:b/>
          <w:bCs/>
          <w:kern w:val="0"/>
          <w:sz w:val="24"/>
        </w:rPr>
      </w:pPr>
      <w:bookmarkStart w:id="24" w:name="_Toc6139"/>
      <w:bookmarkStart w:id="25" w:name="_Toc11999"/>
      <w:r>
        <w:rPr>
          <w:rFonts w:hint="eastAsia" w:ascii="宋体" w:hAnsi="宋体" w:eastAsia="宋体" w:cs="宋体"/>
          <w:b/>
          <w:bCs/>
          <w:kern w:val="0"/>
          <w:sz w:val="24"/>
        </w:rPr>
        <w:t>13.技术支持</w:t>
      </w:r>
      <w:bookmarkEnd w:id="24"/>
      <w:bookmarkEnd w:id="25"/>
    </w:p>
    <w:p w14:paraId="0A431124">
      <w:pPr>
        <w:overflowPunct w:val="0"/>
        <w:adjustRightInd w:val="0"/>
        <w:snapToGrid w:val="0"/>
        <w:spacing w:line="460" w:lineRule="exact"/>
        <w:rPr>
          <w:rFonts w:hint="eastAsia" w:ascii="宋体" w:hAnsi="宋体" w:eastAsia="宋体" w:cs="宋体"/>
          <w:b/>
          <w:bCs/>
          <w:kern w:val="0"/>
          <w:sz w:val="24"/>
        </w:rPr>
      </w:pPr>
      <w:r>
        <w:rPr>
          <w:rFonts w:hint="eastAsia" w:ascii="宋体" w:hAnsi="宋体" w:eastAsia="宋体" w:cs="宋体"/>
          <w:kern w:val="0"/>
          <w:sz w:val="24"/>
          <w:shd w:val="clear" w:color="auto" w:fill="FFFFFF"/>
        </w:rPr>
        <w:t xml:space="preserve">    甲方在设备使用过程中发生技术质量问题，乙方应提供及时有效的技术支持。乙方技术支持联系人：</w:t>
      </w:r>
      <w:r>
        <w:rPr>
          <w:rFonts w:hint="eastAsia" w:ascii="宋体" w:hAnsi="宋体" w:eastAsia="宋体" w:cs="宋体"/>
          <w:kern w:val="0"/>
          <w:sz w:val="24"/>
          <w:u w:val="single"/>
          <w:shd w:val="clear" w:color="auto" w:fill="FFFFFF"/>
        </w:rPr>
        <w:t xml:space="preserve">            </w:t>
      </w:r>
      <w:r>
        <w:rPr>
          <w:rFonts w:hint="eastAsia" w:ascii="宋体" w:hAnsi="宋体" w:eastAsia="宋体" w:cs="宋体"/>
          <w:kern w:val="0"/>
          <w:sz w:val="24"/>
          <w:shd w:val="clear" w:color="auto" w:fill="FFFFFF"/>
        </w:rPr>
        <w:t xml:space="preserve"> 联系电话：</w:t>
      </w:r>
      <w:r>
        <w:rPr>
          <w:rFonts w:hint="eastAsia" w:ascii="宋体" w:hAnsi="宋体" w:eastAsia="宋体" w:cs="宋体"/>
          <w:b/>
          <w:bCs/>
          <w:kern w:val="0"/>
          <w:sz w:val="24"/>
          <w:u w:val="single"/>
        </w:rPr>
        <w:t xml:space="preserve">          </w:t>
      </w:r>
    </w:p>
    <w:p w14:paraId="49F53DD6">
      <w:pPr>
        <w:overflowPunct w:val="0"/>
        <w:adjustRightInd w:val="0"/>
        <w:snapToGrid w:val="0"/>
        <w:spacing w:line="460" w:lineRule="exact"/>
        <w:ind w:firstLine="482"/>
        <w:rPr>
          <w:rFonts w:hint="eastAsia" w:ascii="宋体" w:hAnsi="宋体" w:eastAsia="宋体" w:cs="宋体"/>
          <w:b/>
          <w:bCs/>
          <w:kern w:val="0"/>
          <w:sz w:val="24"/>
        </w:rPr>
      </w:pPr>
      <w:bookmarkStart w:id="26" w:name="_Toc9936"/>
      <w:bookmarkStart w:id="27" w:name="_Toc1419"/>
      <w:r>
        <w:rPr>
          <w:rFonts w:hint="eastAsia" w:ascii="宋体" w:hAnsi="宋体" w:eastAsia="宋体" w:cs="宋体"/>
          <w:b/>
          <w:bCs/>
          <w:kern w:val="0"/>
          <w:sz w:val="24"/>
        </w:rPr>
        <w:t>14.售后服务要求</w:t>
      </w:r>
      <w:bookmarkEnd w:id="26"/>
      <w:bookmarkEnd w:id="27"/>
    </w:p>
    <w:p w14:paraId="60521794">
      <w:pPr>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14.1 凡正常使用中出现的故障，均由乙方负责提供免费检测维修、更换不合格的零部件直至整机（更换的零部件或整机应保证自更换之日起提供相同的质量保证期）正常使用。若需返厂处理，乙方应承担相关费用。同时记录检修情况，并向甲方提供检修报告。</w:t>
      </w:r>
    </w:p>
    <w:p w14:paraId="485F64A1">
      <w:pPr>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14.2 凡设备发生质量问题或出现其他故障，接到甲方通知后，乙方的服务响应时间不超过</w:t>
      </w:r>
      <w:r>
        <w:rPr>
          <w:rFonts w:hint="eastAsia" w:ascii="宋体" w:hAnsi="宋体" w:eastAsia="宋体" w:cs="宋体"/>
          <w:kern w:val="0"/>
          <w:sz w:val="24"/>
          <w:u w:val="single"/>
        </w:rPr>
        <w:t xml:space="preserve">  </w:t>
      </w:r>
      <w:r>
        <w:rPr>
          <w:rFonts w:hint="eastAsia" w:ascii="宋体" w:hAnsi="宋体" w:eastAsia="宋体" w:cs="宋体"/>
          <w:kern w:val="0"/>
          <w:sz w:val="24"/>
        </w:rPr>
        <w:t>小时，并且在</w:t>
      </w:r>
      <w:r>
        <w:rPr>
          <w:rFonts w:hint="eastAsia" w:ascii="宋体" w:hAnsi="宋体" w:eastAsia="宋体" w:cs="宋体"/>
          <w:kern w:val="0"/>
          <w:sz w:val="24"/>
          <w:u w:val="single"/>
        </w:rPr>
        <w:t xml:space="preserve">  </w:t>
      </w:r>
      <w:r>
        <w:rPr>
          <w:rFonts w:hint="eastAsia" w:ascii="宋体" w:hAnsi="宋体" w:eastAsia="宋体" w:cs="宋体"/>
          <w:kern w:val="0"/>
          <w:sz w:val="24"/>
        </w:rPr>
        <w:t>小时内派专业维修人员到达现场，排除故障的期限最长不得超过</w:t>
      </w:r>
      <w:r>
        <w:rPr>
          <w:rFonts w:hint="eastAsia" w:ascii="宋体" w:hAnsi="宋体" w:eastAsia="宋体" w:cs="宋体"/>
          <w:kern w:val="0"/>
          <w:sz w:val="24"/>
          <w:u w:val="single"/>
        </w:rPr>
        <w:t xml:space="preserve">   .</w:t>
      </w:r>
      <w:r>
        <w:rPr>
          <w:rFonts w:hint="eastAsia" w:ascii="宋体" w:hAnsi="宋体" w:eastAsia="宋体" w:cs="宋体"/>
          <w:kern w:val="0"/>
          <w:sz w:val="24"/>
        </w:rPr>
        <w:t>个工作日，否则甲方有权指定第三方维修，维修费用由乙方承担。</w:t>
      </w:r>
    </w:p>
    <w:p w14:paraId="0EA4427E">
      <w:pPr>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14.3 免费提供每周7×24小时不间断的电话支持服务，解答用户在使用过程中遇到的问题，及时提出解决问题的建议和对策。</w:t>
      </w:r>
    </w:p>
    <w:p w14:paraId="4E97929F">
      <w:pPr>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14.4 定期派专业维修人员到现场走访，给予检查维护。并向甲方提供巡检单（一式两份，由双方签字确认），内容包含但不限于巡检时间、巡检内容、巡检结果。</w:t>
      </w:r>
    </w:p>
    <w:p w14:paraId="27E0B61B">
      <w:pPr>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14.5  款项结清前，对所供产品进行一次全面检测、保养和维护。</w:t>
      </w:r>
    </w:p>
    <w:p w14:paraId="72B6E333">
      <w:pPr>
        <w:overflowPunct w:val="0"/>
        <w:adjustRightInd w:val="0"/>
        <w:snapToGrid w:val="0"/>
        <w:spacing w:line="460" w:lineRule="exact"/>
        <w:ind w:firstLine="482"/>
        <w:rPr>
          <w:rFonts w:hint="eastAsia" w:ascii="宋体" w:hAnsi="宋体" w:eastAsia="宋体" w:cs="宋体"/>
          <w:b/>
          <w:bCs/>
          <w:kern w:val="0"/>
          <w:sz w:val="24"/>
        </w:rPr>
      </w:pPr>
      <w:bookmarkStart w:id="28" w:name="_Toc29588"/>
      <w:bookmarkStart w:id="29" w:name="_Toc9696"/>
      <w:r>
        <w:rPr>
          <w:rFonts w:hint="eastAsia" w:ascii="宋体" w:hAnsi="宋体" w:eastAsia="宋体" w:cs="宋体"/>
          <w:b/>
          <w:bCs/>
          <w:kern w:val="0"/>
          <w:sz w:val="24"/>
        </w:rPr>
        <w:t>15.违约责任</w:t>
      </w:r>
      <w:bookmarkEnd w:id="28"/>
      <w:bookmarkEnd w:id="29"/>
    </w:p>
    <w:p w14:paraId="6D3720F9">
      <w:pPr>
        <w:overflowPunct w:val="0"/>
        <w:adjustRightInd w:val="0"/>
        <w:snapToGrid w:val="0"/>
        <w:spacing w:line="460" w:lineRule="exact"/>
        <w:ind w:firstLine="480" w:firstLineChars="200"/>
        <w:rPr>
          <w:rFonts w:hint="eastAsia" w:ascii="宋体" w:hAnsi="宋体" w:eastAsia="宋体" w:cs="宋体"/>
          <w:kern w:val="0"/>
          <w:sz w:val="24"/>
          <w:shd w:val="clear" w:color="auto" w:fill="FFFFFF"/>
        </w:rPr>
      </w:pPr>
      <w:r>
        <w:rPr>
          <w:rFonts w:hint="eastAsia" w:ascii="宋体" w:hAnsi="宋体" w:eastAsia="宋体" w:cs="宋体"/>
          <w:kern w:val="0"/>
          <w:sz w:val="24"/>
          <w:shd w:val="clear" w:color="auto" w:fill="FFFFFF"/>
        </w:rPr>
        <w:t>15.1 本合同若与甲方的上级管理机关的政策性行为或其他规定发生冲突，甲方有权与乙方协商调整合同内容或终止合同执行。</w:t>
      </w:r>
    </w:p>
    <w:p w14:paraId="76F8DDA0">
      <w:pPr>
        <w:overflowPunct w:val="0"/>
        <w:adjustRightInd w:val="0"/>
        <w:snapToGrid w:val="0"/>
        <w:spacing w:line="460" w:lineRule="exact"/>
        <w:ind w:firstLine="480" w:firstLineChars="200"/>
        <w:rPr>
          <w:rFonts w:hint="eastAsia" w:ascii="宋体" w:hAnsi="宋体" w:eastAsia="宋体" w:cs="宋体"/>
          <w:kern w:val="0"/>
          <w:sz w:val="24"/>
          <w:shd w:val="clear" w:color="auto" w:fill="FFFFFF"/>
        </w:rPr>
      </w:pPr>
      <w:r>
        <w:rPr>
          <w:rFonts w:hint="eastAsia" w:ascii="宋体" w:hAnsi="宋体" w:eastAsia="宋体" w:cs="宋体"/>
          <w:kern w:val="0"/>
          <w:sz w:val="24"/>
          <w:shd w:val="clear" w:color="auto" w:fill="FFFFFF"/>
        </w:rPr>
        <w:t>15.2 如乙方所交设备（含选购件）或安装调试与合同标准不相符合，则甲方有权拒收设备（含选购件）、解除本合同、拒付本合同项下的价款并追究乙方违约责任，乙方应返还甲方已支付的全部款项，并按合同总价款的</w:t>
      </w:r>
      <w:r>
        <w:rPr>
          <w:rFonts w:hint="eastAsia" w:ascii="宋体" w:hAnsi="宋体" w:eastAsia="宋体" w:cs="宋体"/>
          <w:kern w:val="0"/>
          <w:sz w:val="24"/>
          <w:u w:val="single"/>
          <w:shd w:val="clear" w:color="auto" w:fill="FFFFFF"/>
        </w:rPr>
        <w:t xml:space="preserve">   </w:t>
      </w:r>
      <w:r>
        <w:rPr>
          <w:rFonts w:hint="eastAsia" w:ascii="宋体" w:hAnsi="宋体" w:eastAsia="宋体" w:cs="宋体"/>
          <w:kern w:val="0"/>
          <w:sz w:val="24"/>
          <w:shd w:val="clear" w:color="auto" w:fill="FFFFFF"/>
        </w:rPr>
        <w:t>向甲方支付违约金并赔偿甲方因此而遭受的一切损失。</w:t>
      </w:r>
    </w:p>
    <w:p w14:paraId="445B35FD">
      <w:pPr>
        <w:overflowPunct w:val="0"/>
        <w:adjustRightInd w:val="0"/>
        <w:snapToGrid w:val="0"/>
        <w:spacing w:line="460" w:lineRule="exact"/>
        <w:ind w:firstLine="480" w:firstLineChars="200"/>
        <w:rPr>
          <w:rFonts w:hint="eastAsia" w:ascii="宋体" w:hAnsi="宋体" w:eastAsia="宋体" w:cs="宋体"/>
          <w:kern w:val="0"/>
          <w:sz w:val="24"/>
          <w:shd w:val="clear" w:color="auto" w:fill="FFFFFF"/>
        </w:rPr>
      </w:pPr>
      <w:r>
        <w:rPr>
          <w:rFonts w:hint="eastAsia" w:ascii="宋体" w:hAnsi="宋体" w:eastAsia="宋体" w:cs="宋体"/>
          <w:kern w:val="0"/>
          <w:sz w:val="24"/>
          <w:shd w:val="clear" w:color="auto" w:fill="FFFFFF"/>
        </w:rPr>
        <w:t>15.3 在设备（含选购件）验收后的质保期内，乙方应对由于设计、工艺或者材料的缺陷而发生的任何不足或故障负责，并按本合同约定和甲方要求承担维修义务，由此而发生的一切费用由乙方承担，若因此导致甲方不能正常使用设备（含选购件），甲方有权退货并追究乙方违约责任，乙方应返还甲方已支付的全部款项，并按合同总价款的</w:t>
      </w:r>
      <w:r>
        <w:rPr>
          <w:rFonts w:hint="eastAsia" w:ascii="宋体" w:hAnsi="宋体" w:eastAsia="宋体" w:cs="宋体"/>
          <w:kern w:val="0"/>
          <w:sz w:val="24"/>
          <w:u w:val="single"/>
          <w:shd w:val="clear" w:color="auto" w:fill="FFFFFF"/>
        </w:rPr>
        <w:t xml:space="preserve">   </w:t>
      </w:r>
      <w:r>
        <w:rPr>
          <w:rFonts w:hint="eastAsia" w:ascii="宋体" w:hAnsi="宋体" w:eastAsia="宋体" w:cs="宋体"/>
          <w:kern w:val="0"/>
          <w:sz w:val="24"/>
          <w:shd w:val="clear" w:color="auto" w:fill="FFFFFF"/>
        </w:rPr>
        <w:t>向甲方支付违约金并赔偿甲方因此而遭受的一切损失。</w:t>
      </w:r>
    </w:p>
    <w:p w14:paraId="7A331647">
      <w:pPr>
        <w:overflowPunct w:val="0"/>
        <w:adjustRightInd w:val="0"/>
        <w:snapToGrid w:val="0"/>
        <w:spacing w:line="460" w:lineRule="exact"/>
        <w:ind w:firstLine="480" w:firstLineChars="200"/>
        <w:rPr>
          <w:rFonts w:hint="eastAsia" w:ascii="宋体" w:hAnsi="宋体" w:eastAsia="宋体" w:cs="宋体"/>
          <w:kern w:val="0"/>
          <w:sz w:val="24"/>
          <w:shd w:val="clear" w:color="auto" w:fill="FFFFFF"/>
        </w:rPr>
      </w:pPr>
      <w:r>
        <w:rPr>
          <w:rFonts w:hint="eastAsia" w:ascii="宋体" w:hAnsi="宋体" w:eastAsia="宋体" w:cs="宋体"/>
          <w:kern w:val="0"/>
          <w:sz w:val="24"/>
          <w:shd w:val="clear" w:color="auto" w:fill="FFFFFF"/>
        </w:rPr>
        <w:t>15.4 除发生不可抗力事件（不可抗力事件仅指自然灾害、战争）外，如乙方逾期交货或安装调试逾期，则每逾期一天，乙方按合同总价的</w:t>
      </w:r>
      <w:r>
        <w:rPr>
          <w:rFonts w:hint="eastAsia" w:ascii="宋体" w:hAnsi="宋体" w:eastAsia="宋体" w:cs="宋体"/>
          <w:kern w:val="0"/>
          <w:sz w:val="24"/>
          <w:u w:val="single"/>
          <w:shd w:val="clear" w:color="auto" w:fill="FFFFFF"/>
        </w:rPr>
        <w:t xml:space="preserve">   </w:t>
      </w:r>
      <w:r>
        <w:rPr>
          <w:rFonts w:hint="eastAsia" w:ascii="宋体" w:hAnsi="宋体" w:eastAsia="宋体" w:cs="宋体"/>
          <w:kern w:val="0"/>
          <w:sz w:val="24"/>
          <w:shd w:val="clear" w:color="auto" w:fill="FFFFFF"/>
        </w:rPr>
        <w:t>向甲方支付违约金，逾期30天，甲方有权解除合同并追究乙方违约责任，乙方应返还甲方已支付的全部款项，并按合同总价款的</w:t>
      </w:r>
      <w:r>
        <w:rPr>
          <w:rFonts w:hint="eastAsia" w:ascii="宋体" w:hAnsi="宋体" w:eastAsia="宋体" w:cs="宋体"/>
          <w:kern w:val="0"/>
          <w:sz w:val="24"/>
          <w:u w:val="single"/>
          <w:shd w:val="clear" w:color="auto" w:fill="FFFFFF"/>
        </w:rPr>
        <w:t xml:space="preserve">   </w:t>
      </w:r>
      <w:r>
        <w:rPr>
          <w:rFonts w:hint="eastAsia" w:ascii="宋体" w:hAnsi="宋体" w:eastAsia="宋体" w:cs="宋体"/>
          <w:kern w:val="0"/>
          <w:sz w:val="24"/>
          <w:shd w:val="clear" w:color="auto" w:fill="FFFFFF"/>
        </w:rPr>
        <w:t>向甲方支付违约金并赔偿甲方因此而遭受的一切损失。</w:t>
      </w:r>
    </w:p>
    <w:p w14:paraId="14EAAD2A">
      <w:pPr>
        <w:overflowPunct w:val="0"/>
        <w:adjustRightInd w:val="0"/>
        <w:snapToGrid w:val="0"/>
        <w:spacing w:line="460" w:lineRule="exact"/>
        <w:ind w:firstLine="480" w:firstLineChars="200"/>
        <w:rPr>
          <w:rFonts w:hint="eastAsia" w:ascii="宋体" w:hAnsi="宋体" w:eastAsia="宋体" w:cs="宋体"/>
          <w:kern w:val="0"/>
          <w:sz w:val="24"/>
          <w:shd w:val="clear" w:color="auto" w:fill="FFFFFF"/>
        </w:rPr>
      </w:pPr>
      <w:r>
        <w:rPr>
          <w:rFonts w:hint="eastAsia" w:ascii="宋体" w:hAnsi="宋体" w:eastAsia="宋体" w:cs="宋体"/>
          <w:kern w:val="0"/>
          <w:sz w:val="24"/>
          <w:shd w:val="clear" w:color="auto" w:fill="FFFFFF"/>
        </w:rPr>
        <w:t>15.5 保修期内，如乙方未按本合同约定提供保修服务，由甲方有权追究乙方违约责任，乙方应按合同总价款的</w:t>
      </w:r>
      <w:r>
        <w:rPr>
          <w:rFonts w:hint="eastAsia" w:ascii="宋体" w:hAnsi="宋体" w:eastAsia="宋体" w:cs="宋体"/>
          <w:kern w:val="0"/>
          <w:sz w:val="24"/>
          <w:u w:val="single"/>
          <w:shd w:val="clear" w:color="auto" w:fill="FFFFFF"/>
        </w:rPr>
        <w:t xml:space="preserve">   </w:t>
      </w:r>
      <w:r>
        <w:rPr>
          <w:rFonts w:hint="eastAsia" w:ascii="宋体" w:hAnsi="宋体" w:eastAsia="宋体" w:cs="宋体"/>
          <w:kern w:val="0"/>
          <w:sz w:val="24"/>
          <w:shd w:val="clear" w:color="auto" w:fill="FFFFFF"/>
        </w:rPr>
        <w:t>向甲方支付违约金并赔偿甲方因此而遭受的一切损失。</w:t>
      </w:r>
    </w:p>
    <w:p w14:paraId="0A01D20B">
      <w:pPr>
        <w:overflowPunct w:val="0"/>
        <w:adjustRightInd w:val="0"/>
        <w:snapToGrid w:val="0"/>
        <w:spacing w:line="460" w:lineRule="exact"/>
        <w:ind w:firstLine="480" w:firstLineChars="200"/>
        <w:rPr>
          <w:rFonts w:hint="eastAsia" w:ascii="宋体" w:hAnsi="宋体" w:eastAsia="宋体" w:cs="宋体"/>
          <w:kern w:val="0"/>
          <w:sz w:val="24"/>
          <w:shd w:val="clear" w:color="auto" w:fill="FFFFFF"/>
        </w:rPr>
      </w:pPr>
      <w:r>
        <w:rPr>
          <w:rFonts w:hint="eastAsia" w:ascii="宋体" w:hAnsi="宋体" w:eastAsia="宋体" w:cs="宋体"/>
          <w:kern w:val="0"/>
          <w:sz w:val="24"/>
          <w:shd w:val="clear" w:color="auto" w:fill="FFFFFF"/>
        </w:rPr>
        <w:t>15.6 如乙方出现除上述13.2-13.5条以外的其他违约行为或违反保证与承诺义务，应按合同总价款的</w:t>
      </w:r>
      <w:r>
        <w:rPr>
          <w:rFonts w:hint="eastAsia" w:ascii="宋体" w:hAnsi="宋体" w:eastAsia="宋体" w:cs="宋体"/>
          <w:kern w:val="0"/>
          <w:sz w:val="24"/>
          <w:u w:val="single"/>
          <w:shd w:val="clear" w:color="auto" w:fill="FFFFFF"/>
        </w:rPr>
        <w:t xml:space="preserve">   </w:t>
      </w:r>
      <w:r>
        <w:rPr>
          <w:rFonts w:hint="eastAsia" w:ascii="宋体" w:hAnsi="宋体" w:eastAsia="宋体" w:cs="宋体"/>
          <w:kern w:val="0"/>
          <w:sz w:val="24"/>
          <w:shd w:val="clear" w:color="auto" w:fill="FFFFFF"/>
        </w:rPr>
        <w:t>向甲方支付违约金并赔偿甲方因此而遭受的一切损失。</w:t>
      </w:r>
    </w:p>
    <w:p w14:paraId="02E3A2CD">
      <w:pPr>
        <w:tabs>
          <w:tab w:val="left" w:pos="1155"/>
        </w:tabs>
        <w:overflowPunct w:val="0"/>
        <w:adjustRightInd w:val="0"/>
        <w:snapToGrid w:val="0"/>
        <w:spacing w:line="460" w:lineRule="exact"/>
        <w:ind w:firstLine="480" w:firstLineChars="200"/>
        <w:rPr>
          <w:rFonts w:hint="eastAsia" w:ascii="宋体" w:hAnsi="宋体" w:eastAsia="宋体" w:cs="宋体"/>
          <w:kern w:val="0"/>
          <w:sz w:val="24"/>
          <w:shd w:val="clear" w:color="auto" w:fill="FFFFFF"/>
        </w:rPr>
      </w:pPr>
      <w:r>
        <w:rPr>
          <w:rFonts w:hint="eastAsia" w:ascii="宋体" w:hAnsi="宋体" w:eastAsia="宋体" w:cs="宋体"/>
          <w:kern w:val="0"/>
          <w:sz w:val="24"/>
          <w:shd w:val="clear" w:color="auto" w:fill="FFFFFF"/>
        </w:rPr>
        <w:t xml:space="preserve">15.7 </w:t>
      </w:r>
      <w:r>
        <w:rPr>
          <w:rFonts w:hint="eastAsia" w:ascii="宋体" w:hAnsi="宋体" w:eastAsia="宋体" w:cs="宋体"/>
          <w:kern w:val="0"/>
          <w:sz w:val="24"/>
          <w:shd w:val="clear" w:color="auto" w:fill="FFFFFF"/>
        </w:rPr>
        <w:tab/>
      </w:r>
      <w:r>
        <w:rPr>
          <w:rFonts w:hint="eastAsia" w:ascii="宋体" w:hAnsi="宋体" w:eastAsia="宋体" w:cs="宋体"/>
          <w:kern w:val="0"/>
          <w:sz w:val="24"/>
          <w:shd w:val="clear" w:color="auto" w:fill="FFFFFF"/>
        </w:rPr>
        <w:t>甲方无正当理由拒收设备，应按合同总价款的</w:t>
      </w:r>
      <w:r>
        <w:rPr>
          <w:rFonts w:hint="eastAsia" w:ascii="宋体" w:hAnsi="宋体" w:eastAsia="宋体" w:cs="宋体"/>
          <w:kern w:val="0"/>
          <w:sz w:val="24"/>
          <w:u w:val="single"/>
          <w:shd w:val="clear" w:color="auto" w:fill="FFFFFF"/>
        </w:rPr>
        <w:t xml:space="preserve">   </w:t>
      </w:r>
      <w:r>
        <w:rPr>
          <w:rFonts w:hint="eastAsia" w:ascii="宋体" w:hAnsi="宋体" w:eastAsia="宋体" w:cs="宋体"/>
          <w:kern w:val="0"/>
          <w:sz w:val="24"/>
          <w:shd w:val="clear" w:color="auto" w:fill="FFFFFF"/>
        </w:rPr>
        <w:t>向乙方支付违约金以作为对乙方的赔偿。</w:t>
      </w:r>
    </w:p>
    <w:p w14:paraId="71E94BCA">
      <w:pPr>
        <w:tabs>
          <w:tab w:val="left" w:pos="1155"/>
        </w:tabs>
        <w:overflowPunct w:val="0"/>
        <w:adjustRightInd w:val="0"/>
        <w:snapToGrid w:val="0"/>
        <w:spacing w:line="460" w:lineRule="exact"/>
        <w:ind w:firstLine="480" w:firstLineChars="200"/>
        <w:rPr>
          <w:rFonts w:hint="eastAsia" w:ascii="宋体" w:hAnsi="宋体" w:eastAsia="宋体" w:cs="宋体"/>
          <w:kern w:val="0"/>
          <w:sz w:val="24"/>
          <w:shd w:val="clear" w:color="auto" w:fill="FFFFFF"/>
        </w:rPr>
      </w:pPr>
      <w:r>
        <w:rPr>
          <w:rFonts w:hint="eastAsia" w:ascii="宋体" w:hAnsi="宋体" w:eastAsia="宋体" w:cs="宋体"/>
          <w:kern w:val="0"/>
          <w:sz w:val="24"/>
          <w:shd w:val="clear" w:color="auto" w:fill="FFFFFF"/>
        </w:rPr>
        <w:t xml:space="preserve">15.8 </w:t>
      </w:r>
      <w:r>
        <w:rPr>
          <w:rFonts w:hint="eastAsia" w:ascii="宋体" w:hAnsi="宋体" w:eastAsia="宋体" w:cs="宋体"/>
          <w:kern w:val="0"/>
          <w:sz w:val="24"/>
          <w:shd w:val="clear" w:color="auto" w:fill="FFFFFF"/>
        </w:rPr>
        <w:tab/>
      </w:r>
      <w:r>
        <w:rPr>
          <w:rFonts w:hint="eastAsia" w:ascii="宋体" w:hAnsi="宋体" w:eastAsia="宋体" w:cs="宋体"/>
          <w:kern w:val="0"/>
          <w:sz w:val="24"/>
          <w:shd w:val="clear" w:color="auto" w:fill="FFFFFF"/>
        </w:rPr>
        <w:tab/>
      </w:r>
      <w:r>
        <w:rPr>
          <w:rFonts w:hint="eastAsia" w:ascii="宋体" w:hAnsi="宋体" w:eastAsia="宋体" w:cs="宋体"/>
          <w:kern w:val="0"/>
          <w:sz w:val="24"/>
          <w:shd w:val="clear" w:color="auto" w:fill="FFFFFF"/>
        </w:rPr>
        <w:t>如甲方无正当理由延迟付款，则每延迟一天，甲方按应付而未付款项的</w:t>
      </w:r>
      <w:r>
        <w:rPr>
          <w:rFonts w:hint="eastAsia" w:ascii="宋体" w:hAnsi="宋体" w:eastAsia="宋体" w:cs="宋体"/>
          <w:kern w:val="0"/>
          <w:sz w:val="24"/>
          <w:u w:val="single"/>
          <w:shd w:val="clear" w:color="auto" w:fill="FFFFFF"/>
        </w:rPr>
        <w:t xml:space="preserve">   </w:t>
      </w:r>
      <w:r>
        <w:rPr>
          <w:rFonts w:hint="eastAsia" w:ascii="宋体" w:hAnsi="宋体" w:eastAsia="宋体" w:cs="宋体"/>
          <w:kern w:val="0"/>
          <w:sz w:val="24"/>
          <w:shd w:val="clear" w:color="auto" w:fill="FFFFFF"/>
        </w:rPr>
        <w:t>向乙方支付逾期的违约金，但逾期付款违约金最多不超过甲方应付而未付金额的</w:t>
      </w:r>
      <w:r>
        <w:rPr>
          <w:rFonts w:hint="eastAsia" w:ascii="宋体" w:hAnsi="宋体" w:eastAsia="宋体" w:cs="宋体"/>
          <w:kern w:val="0"/>
          <w:sz w:val="24"/>
          <w:u w:val="single"/>
          <w:shd w:val="clear" w:color="auto" w:fill="FFFFFF"/>
        </w:rPr>
        <w:t xml:space="preserve">   </w:t>
      </w:r>
      <w:r>
        <w:rPr>
          <w:rFonts w:hint="eastAsia" w:ascii="宋体" w:hAnsi="宋体" w:eastAsia="宋体" w:cs="宋体"/>
          <w:kern w:val="0"/>
          <w:sz w:val="24"/>
          <w:shd w:val="clear" w:color="auto" w:fill="FFFFFF"/>
        </w:rPr>
        <w:t>，本合同继续履行。</w:t>
      </w:r>
    </w:p>
    <w:p w14:paraId="1E0D82DE">
      <w:pPr>
        <w:overflowPunct w:val="0"/>
        <w:adjustRightInd w:val="0"/>
        <w:snapToGrid w:val="0"/>
        <w:spacing w:line="460" w:lineRule="exact"/>
        <w:ind w:firstLine="480" w:firstLineChars="200"/>
        <w:rPr>
          <w:rFonts w:hint="eastAsia" w:ascii="宋体" w:hAnsi="宋体" w:eastAsia="宋体" w:cs="宋体"/>
          <w:kern w:val="0"/>
          <w:sz w:val="24"/>
          <w:shd w:val="clear" w:color="auto" w:fill="FFFFFF"/>
        </w:rPr>
      </w:pPr>
      <w:r>
        <w:rPr>
          <w:rFonts w:hint="eastAsia" w:ascii="宋体" w:hAnsi="宋体" w:eastAsia="宋体" w:cs="宋体"/>
          <w:kern w:val="0"/>
          <w:sz w:val="24"/>
          <w:shd w:val="clear" w:color="auto" w:fill="FFFFFF"/>
        </w:rPr>
        <w:t>15.9 由于不可抗力（不可抗力仅指自然灾害、战争）所导致的违约，根据不可抗力的影响范围，可部分或全部免除违约方的违约责任，但违约方应及时通知对方并在不可抗力事件发生之日起5日内提供符合法律规定的证明文件，否则应赔偿对方因此而遭受的损失。</w:t>
      </w:r>
    </w:p>
    <w:p w14:paraId="07623A38">
      <w:pPr>
        <w:overflowPunct w:val="0"/>
        <w:adjustRightInd w:val="0"/>
        <w:snapToGrid w:val="0"/>
        <w:spacing w:line="460" w:lineRule="exact"/>
        <w:ind w:firstLine="482"/>
        <w:rPr>
          <w:rFonts w:hint="eastAsia" w:ascii="宋体" w:hAnsi="宋体" w:eastAsia="宋体" w:cs="宋体"/>
          <w:b/>
          <w:bCs/>
          <w:kern w:val="0"/>
          <w:sz w:val="24"/>
        </w:rPr>
      </w:pPr>
      <w:bookmarkStart w:id="30" w:name="_Toc18421"/>
      <w:bookmarkStart w:id="31" w:name="_Toc14590"/>
      <w:r>
        <w:rPr>
          <w:rFonts w:hint="eastAsia" w:ascii="宋体" w:hAnsi="宋体" w:eastAsia="宋体" w:cs="宋体"/>
          <w:b/>
          <w:bCs/>
          <w:kern w:val="0"/>
          <w:sz w:val="24"/>
        </w:rPr>
        <w:t>16.保密条款</w:t>
      </w:r>
      <w:bookmarkEnd w:id="30"/>
      <w:bookmarkEnd w:id="31"/>
    </w:p>
    <w:p w14:paraId="5E603954">
      <w:pPr>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甲、乙双方对本合同履行过程中获得的对方的资料数据、商业技术信息等承担保密责任。未经对方事先书面同意，任何一方不得以任何形式向第三方泄露。本合同的解除或终止，不免除双方对本保密条款的遵守。</w:t>
      </w:r>
    </w:p>
    <w:p w14:paraId="2C843431">
      <w:pPr>
        <w:overflowPunct w:val="0"/>
        <w:adjustRightInd w:val="0"/>
        <w:snapToGrid w:val="0"/>
        <w:spacing w:line="460" w:lineRule="exact"/>
        <w:ind w:firstLine="482"/>
        <w:rPr>
          <w:rFonts w:hint="eastAsia" w:ascii="宋体" w:hAnsi="宋体" w:eastAsia="宋体" w:cs="宋体"/>
          <w:b/>
          <w:bCs/>
          <w:kern w:val="0"/>
          <w:sz w:val="24"/>
        </w:rPr>
      </w:pPr>
      <w:bookmarkStart w:id="32" w:name="_Toc24354"/>
      <w:bookmarkStart w:id="33" w:name="_Toc18460"/>
      <w:r>
        <w:rPr>
          <w:rFonts w:hint="eastAsia" w:ascii="宋体" w:hAnsi="宋体" w:eastAsia="宋体" w:cs="宋体"/>
          <w:b/>
          <w:bCs/>
          <w:kern w:val="0"/>
          <w:sz w:val="24"/>
        </w:rPr>
        <w:t>17.合同</w:t>
      </w:r>
      <w:bookmarkEnd w:id="32"/>
      <w:bookmarkEnd w:id="33"/>
      <w:r>
        <w:rPr>
          <w:rFonts w:hint="eastAsia" w:ascii="宋体" w:hAnsi="宋体" w:eastAsia="宋体" w:cs="宋体"/>
          <w:b/>
          <w:bCs/>
          <w:kern w:val="0"/>
          <w:sz w:val="24"/>
        </w:rPr>
        <w:t>履行</w:t>
      </w:r>
    </w:p>
    <w:p w14:paraId="66D30C1F">
      <w:pPr>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除《中华人民共和国政府采购法》第49条、第50条第二款规定的情形外，本合同一经签订，甲乙双方不得擅自变更、中止或终止合同。</w:t>
      </w:r>
    </w:p>
    <w:p w14:paraId="4984F6AD">
      <w:pPr>
        <w:overflowPunct w:val="0"/>
        <w:adjustRightInd w:val="0"/>
        <w:snapToGrid w:val="0"/>
        <w:spacing w:line="460" w:lineRule="exact"/>
        <w:ind w:firstLine="482"/>
        <w:rPr>
          <w:rFonts w:hint="eastAsia" w:ascii="宋体" w:hAnsi="宋体" w:eastAsia="宋体" w:cs="宋体"/>
          <w:b/>
          <w:bCs/>
          <w:kern w:val="0"/>
          <w:sz w:val="24"/>
        </w:rPr>
      </w:pPr>
      <w:bookmarkStart w:id="34" w:name="_Toc23231"/>
      <w:bookmarkStart w:id="35" w:name="_Toc2019"/>
      <w:r>
        <w:rPr>
          <w:rFonts w:hint="eastAsia" w:ascii="宋体" w:hAnsi="宋体" w:eastAsia="宋体" w:cs="宋体"/>
          <w:b/>
          <w:bCs/>
          <w:kern w:val="0"/>
          <w:sz w:val="24"/>
        </w:rPr>
        <w:t>18.合同争议解决的方式</w:t>
      </w:r>
      <w:bookmarkEnd w:id="34"/>
      <w:bookmarkEnd w:id="35"/>
    </w:p>
    <w:p w14:paraId="0CF81687">
      <w:pPr>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18.1 因货物的质量问题发生争议，由质量技术监督部门或其指定的质量鉴定机构进行质量鉴定。货物符合标准的，鉴定费由甲方承担；货物不符合质量标准的，鉴定费由乙方承担。</w:t>
      </w:r>
    </w:p>
    <w:p w14:paraId="2484FE0E">
      <w:pPr>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18.2 因履行本合同引起的或与本合同有关的争议，甲、乙双方应首先通过友好协商解决，如果协商不成，则采取以下第</w:t>
      </w:r>
      <w:r>
        <w:rPr>
          <w:rFonts w:hint="eastAsia" w:ascii="宋体" w:hAnsi="宋体" w:eastAsia="宋体" w:cs="宋体"/>
          <w:kern w:val="0"/>
          <w:sz w:val="24"/>
          <w:u w:val="single"/>
        </w:rPr>
        <w:t xml:space="preserve">   </w:t>
      </w:r>
      <w:r>
        <w:rPr>
          <w:rFonts w:hint="eastAsia" w:ascii="宋体" w:hAnsi="宋体" w:eastAsia="宋体" w:cs="宋体"/>
          <w:kern w:val="0"/>
          <w:sz w:val="24"/>
        </w:rPr>
        <w:t>种方式解决争议：</w:t>
      </w:r>
    </w:p>
    <w:p w14:paraId="1D131DBA">
      <w:pPr>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18.2.1 向甲方所在地有管辖权的人民法院提起诉讼；</w:t>
      </w:r>
    </w:p>
    <w:p w14:paraId="01683CB8">
      <w:pPr>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18.2.2 向</w:t>
      </w:r>
      <w:r>
        <w:rPr>
          <w:rFonts w:hint="eastAsia" w:ascii="宋体" w:hAnsi="宋体" w:eastAsia="宋体" w:cs="宋体"/>
          <w:kern w:val="0"/>
          <w:sz w:val="24"/>
          <w:lang w:val="en-US" w:eastAsia="zh-CN"/>
        </w:rPr>
        <w:t>商洛</w:t>
      </w:r>
      <w:r>
        <w:rPr>
          <w:rFonts w:hint="eastAsia" w:ascii="宋体" w:hAnsi="宋体" w:eastAsia="宋体" w:cs="宋体"/>
          <w:kern w:val="0"/>
          <w:sz w:val="24"/>
        </w:rPr>
        <w:t>仲裁委员会按其仲裁规则申请仲裁。</w:t>
      </w:r>
    </w:p>
    <w:p w14:paraId="16EE11A6">
      <w:pPr>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18.3 仲裁期间，本合同应继续履行。</w:t>
      </w:r>
    </w:p>
    <w:p w14:paraId="4627C6A0">
      <w:pPr>
        <w:overflowPunct w:val="0"/>
        <w:adjustRightInd w:val="0"/>
        <w:snapToGrid w:val="0"/>
        <w:spacing w:line="460" w:lineRule="exact"/>
        <w:ind w:firstLine="482"/>
        <w:rPr>
          <w:rFonts w:hint="eastAsia" w:ascii="宋体" w:hAnsi="宋体" w:eastAsia="宋体" w:cs="宋体"/>
          <w:b/>
          <w:bCs/>
          <w:kern w:val="0"/>
          <w:sz w:val="24"/>
        </w:rPr>
      </w:pPr>
      <w:bookmarkStart w:id="36" w:name="_Toc3946"/>
      <w:bookmarkStart w:id="37" w:name="_Toc23719"/>
      <w:r>
        <w:rPr>
          <w:rFonts w:hint="eastAsia" w:ascii="宋体" w:hAnsi="宋体" w:eastAsia="宋体" w:cs="宋体"/>
          <w:b/>
          <w:bCs/>
          <w:kern w:val="0"/>
          <w:sz w:val="24"/>
        </w:rPr>
        <w:t>19.合同文件</w:t>
      </w:r>
      <w:bookmarkEnd w:id="36"/>
      <w:bookmarkEnd w:id="37"/>
    </w:p>
    <w:p w14:paraId="7EFBCBBD">
      <w:pPr>
        <w:overflowPunct w:val="0"/>
        <w:adjustRightInd w:val="0"/>
        <w:snapToGrid w:val="0"/>
        <w:spacing w:line="460" w:lineRule="exact"/>
        <w:ind w:firstLine="480" w:firstLineChars="200"/>
        <w:jc w:val="left"/>
        <w:rPr>
          <w:rFonts w:hint="eastAsia" w:ascii="宋体" w:hAnsi="宋体" w:eastAsia="宋体" w:cs="宋体"/>
          <w:kern w:val="0"/>
          <w:sz w:val="24"/>
        </w:rPr>
      </w:pPr>
      <w:r>
        <w:rPr>
          <w:rFonts w:hint="eastAsia" w:ascii="宋体" w:hAnsi="宋体" w:eastAsia="宋体" w:cs="宋体"/>
          <w:kern w:val="0"/>
          <w:sz w:val="24"/>
        </w:rPr>
        <w:t>详细技术说明及其他有关合同项目的特定信息由合同附件予以说明，下列文件构成本合同的组成部分，应该认为是一个整体，彼此相互解释，相互补充。组成合同的多个文件的优先支配地位的次序如下：</w:t>
      </w:r>
    </w:p>
    <w:p w14:paraId="1CC4117E">
      <w:pPr>
        <w:overflowPunct w:val="0"/>
        <w:adjustRightInd w:val="0"/>
        <w:snapToGrid w:val="0"/>
        <w:spacing w:line="460" w:lineRule="exact"/>
        <w:ind w:firstLine="480" w:firstLineChars="200"/>
        <w:jc w:val="left"/>
        <w:rPr>
          <w:rFonts w:hint="eastAsia" w:ascii="宋体" w:hAnsi="宋体" w:eastAsia="宋体" w:cs="宋体"/>
          <w:kern w:val="0"/>
          <w:sz w:val="24"/>
        </w:rPr>
      </w:pPr>
      <w:r>
        <w:rPr>
          <w:rFonts w:hint="eastAsia" w:ascii="宋体" w:hAnsi="宋体" w:eastAsia="宋体" w:cs="宋体"/>
          <w:kern w:val="0"/>
          <w:sz w:val="24"/>
        </w:rPr>
        <w:t>19.1 本合同书</w:t>
      </w:r>
    </w:p>
    <w:p w14:paraId="28DFBDC1">
      <w:pPr>
        <w:overflowPunct w:val="0"/>
        <w:adjustRightInd w:val="0"/>
        <w:snapToGrid w:val="0"/>
        <w:spacing w:line="460" w:lineRule="exact"/>
        <w:ind w:firstLine="480" w:firstLineChars="200"/>
        <w:jc w:val="left"/>
        <w:rPr>
          <w:rFonts w:hint="eastAsia" w:ascii="宋体" w:hAnsi="宋体" w:eastAsia="宋体" w:cs="宋体"/>
          <w:kern w:val="0"/>
          <w:sz w:val="24"/>
        </w:rPr>
      </w:pPr>
      <w:r>
        <w:rPr>
          <w:rFonts w:hint="eastAsia" w:ascii="宋体" w:hAnsi="宋体" w:eastAsia="宋体" w:cs="宋体"/>
          <w:kern w:val="0"/>
          <w:sz w:val="24"/>
        </w:rPr>
        <w:t>19.2 中标通知书</w:t>
      </w:r>
      <w:r>
        <w:rPr>
          <w:rFonts w:hint="eastAsia" w:ascii="宋体" w:hAnsi="宋体" w:eastAsia="宋体" w:cs="宋体"/>
          <w:kern w:val="0"/>
          <w:sz w:val="24"/>
        </w:rPr>
        <w:tab/>
      </w:r>
    </w:p>
    <w:p w14:paraId="2A7F6AAF">
      <w:pPr>
        <w:overflowPunct w:val="0"/>
        <w:adjustRightInd w:val="0"/>
        <w:snapToGrid w:val="0"/>
        <w:spacing w:line="460" w:lineRule="exact"/>
        <w:ind w:firstLine="480" w:firstLineChars="200"/>
        <w:jc w:val="left"/>
        <w:rPr>
          <w:rFonts w:hint="eastAsia" w:ascii="宋体" w:hAnsi="宋体" w:eastAsia="宋体" w:cs="宋体"/>
          <w:kern w:val="0"/>
          <w:sz w:val="24"/>
        </w:rPr>
      </w:pPr>
      <w:r>
        <w:rPr>
          <w:rFonts w:hint="eastAsia" w:ascii="宋体" w:hAnsi="宋体" w:eastAsia="宋体" w:cs="宋体"/>
          <w:kern w:val="0"/>
          <w:sz w:val="24"/>
        </w:rPr>
        <w:t>19.3 协议</w:t>
      </w:r>
    </w:p>
    <w:p w14:paraId="752C7FAE">
      <w:pPr>
        <w:overflowPunct w:val="0"/>
        <w:adjustRightInd w:val="0"/>
        <w:snapToGrid w:val="0"/>
        <w:spacing w:line="460" w:lineRule="exact"/>
        <w:ind w:firstLine="480" w:firstLineChars="200"/>
        <w:jc w:val="left"/>
        <w:rPr>
          <w:rFonts w:hint="eastAsia" w:ascii="宋体" w:hAnsi="宋体" w:eastAsia="宋体" w:cs="宋体"/>
          <w:kern w:val="0"/>
          <w:sz w:val="24"/>
        </w:rPr>
      </w:pPr>
      <w:r>
        <w:rPr>
          <w:rFonts w:hint="eastAsia" w:ascii="宋体" w:hAnsi="宋体" w:eastAsia="宋体" w:cs="宋体"/>
          <w:kern w:val="0"/>
          <w:sz w:val="24"/>
        </w:rPr>
        <w:t>19.4 招标文件(含澄清或者修改文件)</w:t>
      </w:r>
    </w:p>
    <w:p w14:paraId="472B3AAF">
      <w:pPr>
        <w:overflowPunct w:val="0"/>
        <w:adjustRightInd w:val="0"/>
        <w:snapToGrid w:val="0"/>
        <w:spacing w:line="460" w:lineRule="exact"/>
        <w:ind w:firstLine="480" w:firstLineChars="200"/>
        <w:jc w:val="left"/>
        <w:rPr>
          <w:rFonts w:hint="eastAsia" w:ascii="宋体" w:hAnsi="宋体" w:eastAsia="宋体" w:cs="宋体"/>
          <w:kern w:val="0"/>
          <w:sz w:val="24"/>
        </w:rPr>
      </w:pPr>
      <w:r>
        <w:rPr>
          <w:rFonts w:hint="eastAsia" w:ascii="宋体" w:hAnsi="宋体" w:eastAsia="宋体" w:cs="宋体"/>
          <w:kern w:val="0"/>
          <w:sz w:val="24"/>
        </w:rPr>
        <w:t>19.5 投标文件</w:t>
      </w:r>
    </w:p>
    <w:p w14:paraId="60772ACE">
      <w:pPr>
        <w:overflowPunct w:val="0"/>
        <w:adjustRightInd w:val="0"/>
        <w:snapToGrid w:val="0"/>
        <w:spacing w:line="460" w:lineRule="exact"/>
        <w:ind w:firstLine="482"/>
        <w:rPr>
          <w:rFonts w:hint="eastAsia" w:ascii="宋体" w:hAnsi="宋体" w:eastAsia="宋体" w:cs="宋体"/>
          <w:b/>
          <w:bCs/>
          <w:kern w:val="0"/>
          <w:sz w:val="24"/>
        </w:rPr>
      </w:pPr>
      <w:bookmarkStart w:id="38" w:name="_Toc16981"/>
      <w:bookmarkStart w:id="39" w:name="_Toc21719"/>
      <w:r>
        <w:rPr>
          <w:rFonts w:hint="eastAsia" w:ascii="宋体" w:hAnsi="宋体" w:eastAsia="宋体" w:cs="宋体"/>
          <w:b/>
          <w:bCs/>
          <w:kern w:val="0"/>
          <w:sz w:val="24"/>
        </w:rPr>
        <w:t>20.其他事项</w:t>
      </w:r>
      <w:bookmarkEnd w:id="38"/>
      <w:bookmarkEnd w:id="39"/>
    </w:p>
    <w:p w14:paraId="56B21BDE">
      <w:pPr>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20.1 陕西省财政厅在合同的履行期间以及履行期后，可以随时检查项目的执行情况，对采购标准、采购内容进行调查核实，并对发现的问题进行处理。</w:t>
      </w:r>
    </w:p>
    <w:p w14:paraId="09E3F73B">
      <w:pPr>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20.2乙方应根据公开招标文件要求向采购代理机构交纳代理服务费并取得甲方的签章后，合同才正式生效。</w:t>
      </w:r>
    </w:p>
    <w:p w14:paraId="09905546">
      <w:pPr>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20.3 本合同一式</w:t>
      </w:r>
      <w:r>
        <w:rPr>
          <w:rFonts w:hint="eastAsia" w:ascii="宋体" w:hAnsi="宋体" w:eastAsia="宋体" w:cs="宋体"/>
          <w:kern w:val="0"/>
          <w:sz w:val="24"/>
          <w:u w:val="single"/>
        </w:rPr>
        <w:t xml:space="preserve">   </w:t>
      </w:r>
      <w:r>
        <w:rPr>
          <w:rFonts w:hint="eastAsia" w:ascii="宋体" w:hAnsi="宋体" w:eastAsia="宋体" w:cs="宋体"/>
          <w:kern w:val="0"/>
          <w:sz w:val="24"/>
        </w:rPr>
        <w:t>份，甲方</w:t>
      </w:r>
      <w:r>
        <w:rPr>
          <w:rFonts w:hint="eastAsia" w:ascii="宋体" w:hAnsi="宋体" w:eastAsia="宋体" w:cs="宋体"/>
          <w:kern w:val="0"/>
          <w:sz w:val="24"/>
          <w:u w:val="single"/>
        </w:rPr>
        <w:t xml:space="preserve">   </w:t>
      </w:r>
      <w:r>
        <w:rPr>
          <w:rFonts w:hint="eastAsia" w:ascii="宋体" w:hAnsi="宋体" w:eastAsia="宋体" w:cs="宋体"/>
          <w:kern w:val="0"/>
          <w:sz w:val="24"/>
        </w:rPr>
        <w:t>份，乙方</w:t>
      </w:r>
      <w:r>
        <w:rPr>
          <w:rFonts w:hint="eastAsia" w:ascii="宋体" w:hAnsi="宋体" w:eastAsia="宋体" w:cs="宋体"/>
          <w:kern w:val="0"/>
          <w:sz w:val="24"/>
          <w:u w:val="single"/>
        </w:rPr>
        <w:t xml:space="preserve">   </w:t>
      </w:r>
      <w:r>
        <w:rPr>
          <w:rFonts w:hint="eastAsia" w:ascii="宋体" w:hAnsi="宋体" w:eastAsia="宋体" w:cs="宋体"/>
          <w:kern w:val="0"/>
          <w:sz w:val="24"/>
        </w:rPr>
        <w:t>份，采购代理机构</w:t>
      </w:r>
      <w:r>
        <w:rPr>
          <w:rFonts w:hint="eastAsia" w:ascii="宋体" w:hAnsi="宋体" w:eastAsia="宋体" w:cs="宋体"/>
          <w:kern w:val="0"/>
          <w:sz w:val="24"/>
          <w:u w:val="single"/>
        </w:rPr>
        <w:t xml:space="preserve"> 壹 </w:t>
      </w:r>
      <w:r>
        <w:rPr>
          <w:rFonts w:hint="eastAsia" w:ascii="宋体" w:hAnsi="宋体" w:eastAsia="宋体" w:cs="宋体"/>
          <w:kern w:val="0"/>
          <w:sz w:val="24"/>
        </w:rPr>
        <w:t>份。。</w:t>
      </w:r>
    </w:p>
    <w:p w14:paraId="012412CF">
      <w:pPr>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20.4 本合同未尽事项，补充合同内容。</w:t>
      </w:r>
    </w:p>
    <w:p w14:paraId="5FF24166">
      <w:pPr>
        <w:overflowPunct w:val="0"/>
        <w:adjustRightInd w:val="0"/>
        <w:snapToGrid w:val="0"/>
        <w:spacing w:line="4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（以下无正文）</w:t>
      </w:r>
    </w:p>
    <w:p w14:paraId="6BC3DAB8">
      <w:pPr>
        <w:adjustRightInd w:val="0"/>
        <w:snapToGrid w:val="0"/>
        <w:spacing w:after="120"/>
        <w:ind w:left="420" w:leftChars="200"/>
        <w:rPr>
          <w:rFonts w:hint="eastAsia" w:ascii="宋体" w:hAnsi="宋体" w:eastAsia="宋体" w:cs="Times New Roman"/>
          <w:sz w:val="24"/>
          <w:szCs w:val="21"/>
        </w:rPr>
      </w:pPr>
    </w:p>
    <w:tbl>
      <w:tblPr>
        <w:tblStyle w:val="4"/>
        <w:tblpPr w:leftFromText="180" w:rightFromText="180" w:vertAnchor="text" w:horzAnchor="margin" w:tblpY="782"/>
        <w:tblW w:w="4829" w:type="pct"/>
        <w:tblInd w:w="0" w:type="dxa"/>
        <w:tblLayout w:type="fixed"/>
        <w:tblCellMar>
          <w:top w:w="0" w:type="dxa"/>
          <w:left w:w="108" w:type="dxa"/>
          <w:bottom w:w="0" w:type="dxa"/>
          <w:right w:w="108" w:type="dxa"/>
        </w:tblCellMar>
      </w:tblPr>
      <w:tblGrid>
        <w:gridCol w:w="4113"/>
        <w:gridCol w:w="4118"/>
      </w:tblGrid>
      <w:tr w14:paraId="497A34CE">
        <w:tblPrEx>
          <w:tblCellMar>
            <w:top w:w="0" w:type="dxa"/>
            <w:left w:w="108" w:type="dxa"/>
            <w:bottom w:w="0" w:type="dxa"/>
            <w:right w:w="108" w:type="dxa"/>
          </w:tblCellMar>
        </w:tblPrEx>
        <w:trPr>
          <w:trHeight w:val="437" w:hRule="atLeast"/>
        </w:trPr>
        <w:tc>
          <w:tcPr>
            <w:tcW w:w="2499" w:type="pct"/>
            <w:vAlign w:val="center"/>
          </w:tcPr>
          <w:p w14:paraId="53AAA307">
            <w:pPr>
              <w:overflowPunct w:val="0"/>
              <w:adjustRightInd w:val="0"/>
              <w:snapToGrid w:val="0"/>
              <w:rPr>
                <w:rFonts w:hint="eastAsia" w:ascii="宋体" w:hAnsi="宋体" w:eastAsia="宋体" w:cs="宋体"/>
                <w:kern w:val="0"/>
                <w:sz w:val="24"/>
              </w:rPr>
            </w:pPr>
            <w:r>
              <w:rPr>
                <w:rFonts w:hint="eastAsia" w:ascii="宋体" w:hAnsi="宋体" w:eastAsia="宋体" w:cs="宋体"/>
                <w:kern w:val="0"/>
                <w:sz w:val="24"/>
              </w:rPr>
              <w:t>甲方:                  （盖章）</w:t>
            </w:r>
          </w:p>
        </w:tc>
        <w:tc>
          <w:tcPr>
            <w:tcW w:w="2501" w:type="pct"/>
            <w:vAlign w:val="center"/>
          </w:tcPr>
          <w:p w14:paraId="543D29D2">
            <w:pPr>
              <w:overflowPunct w:val="0"/>
              <w:adjustRightInd w:val="0"/>
              <w:snapToGrid w:val="0"/>
              <w:rPr>
                <w:rFonts w:hint="eastAsia" w:ascii="宋体" w:hAnsi="宋体" w:eastAsia="宋体" w:cs="宋体"/>
                <w:kern w:val="0"/>
                <w:sz w:val="24"/>
              </w:rPr>
            </w:pPr>
            <w:r>
              <w:rPr>
                <w:rFonts w:hint="eastAsia" w:ascii="宋体" w:hAnsi="宋体" w:eastAsia="宋体" w:cs="宋体"/>
                <w:kern w:val="0"/>
                <w:sz w:val="24"/>
              </w:rPr>
              <w:t>乙方:                    （盖章）</w:t>
            </w:r>
          </w:p>
        </w:tc>
      </w:tr>
      <w:tr w14:paraId="5697611C">
        <w:tblPrEx>
          <w:tblCellMar>
            <w:top w:w="0" w:type="dxa"/>
            <w:left w:w="108" w:type="dxa"/>
            <w:bottom w:w="0" w:type="dxa"/>
            <w:right w:w="108" w:type="dxa"/>
          </w:tblCellMar>
        </w:tblPrEx>
        <w:trPr>
          <w:trHeight w:val="437" w:hRule="atLeast"/>
        </w:trPr>
        <w:tc>
          <w:tcPr>
            <w:tcW w:w="2499" w:type="pct"/>
            <w:vAlign w:val="center"/>
          </w:tcPr>
          <w:p w14:paraId="7048A2AB">
            <w:pPr>
              <w:overflowPunct w:val="0"/>
              <w:adjustRightInd w:val="0"/>
              <w:snapToGrid w:val="0"/>
              <w:rPr>
                <w:rFonts w:hint="eastAsia" w:ascii="宋体" w:hAnsi="宋体" w:eastAsia="宋体" w:cs="宋体"/>
                <w:kern w:val="0"/>
                <w:sz w:val="24"/>
              </w:rPr>
            </w:pPr>
            <w:r>
              <w:rPr>
                <w:rFonts w:hint="eastAsia" w:ascii="宋体" w:hAnsi="宋体" w:eastAsia="宋体" w:cs="宋体"/>
                <w:kern w:val="0"/>
                <w:sz w:val="24"/>
              </w:rPr>
              <w:t xml:space="preserve">地址： </w:t>
            </w:r>
          </w:p>
        </w:tc>
        <w:tc>
          <w:tcPr>
            <w:tcW w:w="2501" w:type="pct"/>
            <w:vAlign w:val="center"/>
          </w:tcPr>
          <w:p w14:paraId="2D95602D">
            <w:pPr>
              <w:overflowPunct w:val="0"/>
              <w:adjustRightInd w:val="0"/>
              <w:snapToGrid w:val="0"/>
              <w:rPr>
                <w:rFonts w:hint="eastAsia" w:ascii="宋体" w:hAnsi="宋体" w:eastAsia="宋体" w:cs="宋体"/>
                <w:kern w:val="0"/>
                <w:sz w:val="24"/>
              </w:rPr>
            </w:pPr>
            <w:r>
              <w:rPr>
                <w:rFonts w:hint="eastAsia" w:ascii="宋体" w:hAnsi="宋体" w:eastAsia="宋体" w:cs="宋体"/>
                <w:kern w:val="0"/>
                <w:sz w:val="24"/>
              </w:rPr>
              <w:t>地址：</w:t>
            </w:r>
          </w:p>
        </w:tc>
      </w:tr>
      <w:tr w14:paraId="34C79616">
        <w:tblPrEx>
          <w:tblCellMar>
            <w:top w:w="0" w:type="dxa"/>
            <w:left w:w="108" w:type="dxa"/>
            <w:bottom w:w="0" w:type="dxa"/>
            <w:right w:w="108" w:type="dxa"/>
          </w:tblCellMar>
        </w:tblPrEx>
        <w:trPr>
          <w:trHeight w:val="437" w:hRule="atLeast"/>
        </w:trPr>
        <w:tc>
          <w:tcPr>
            <w:tcW w:w="2499" w:type="pct"/>
            <w:vAlign w:val="center"/>
          </w:tcPr>
          <w:p w14:paraId="087542F2">
            <w:pPr>
              <w:overflowPunct w:val="0"/>
              <w:adjustRightInd w:val="0"/>
              <w:snapToGrid w:val="0"/>
              <w:rPr>
                <w:rFonts w:hint="eastAsia" w:ascii="宋体" w:hAnsi="宋体" w:eastAsia="宋体" w:cs="宋体"/>
                <w:kern w:val="0"/>
                <w:sz w:val="24"/>
              </w:rPr>
            </w:pPr>
            <w:r>
              <w:rPr>
                <w:rFonts w:hint="eastAsia" w:ascii="宋体" w:hAnsi="宋体" w:eastAsia="宋体" w:cs="宋体"/>
                <w:kern w:val="0"/>
                <w:sz w:val="24"/>
              </w:rPr>
              <w:t>邮编：</w:t>
            </w:r>
          </w:p>
        </w:tc>
        <w:tc>
          <w:tcPr>
            <w:tcW w:w="2501" w:type="pct"/>
            <w:vAlign w:val="center"/>
          </w:tcPr>
          <w:p w14:paraId="1595F43D">
            <w:pPr>
              <w:overflowPunct w:val="0"/>
              <w:adjustRightInd w:val="0"/>
              <w:snapToGrid w:val="0"/>
              <w:rPr>
                <w:rFonts w:hint="eastAsia" w:ascii="宋体" w:hAnsi="宋体" w:eastAsia="宋体" w:cs="宋体"/>
                <w:kern w:val="0"/>
                <w:sz w:val="24"/>
              </w:rPr>
            </w:pPr>
            <w:r>
              <w:rPr>
                <w:rFonts w:hint="eastAsia" w:ascii="宋体" w:hAnsi="宋体" w:eastAsia="宋体" w:cs="宋体"/>
                <w:kern w:val="0"/>
                <w:sz w:val="24"/>
              </w:rPr>
              <w:t>邮编：</w:t>
            </w:r>
          </w:p>
        </w:tc>
      </w:tr>
      <w:tr w14:paraId="2B97CD07">
        <w:tblPrEx>
          <w:tblCellMar>
            <w:top w:w="0" w:type="dxa"/>
            <w:left w:w="108" w:type="dxa"/>
            <w:bottom w:w="0" w:type="dxa"/>
            <w:right w:w="108" w:type="dxa"/>
          </w:tblCellMar>
        </w:tblPrEx>
        <w:trPr>
          <w:trHeight w:val="1095" w:hRule="atLeast"/>
        </w:trPr>
        <w:tc>
          <w:tcPr>
            <w:tcW w:w="2499" w:type="pct"/>
          </w:tcPr>
          <w:p w14:paraId="67D5A03C">
            <w:pPr>
              <w:overflowPunct w:val="0"/>
              <w:adjustRightInd w:val="0"/>
              <w:snapToGrid w:val="0"/>
              <w:rPr>
                <w:rFonts w:hint="eastAsia" w:ascii="宋体" w:hAnsi="宋体" w:eastAsia="宋体" w:cs="宋体"/>
                <w:kern w:val="0"/>
                <w:sz w:val="24"/>
              </w:rPr>
            </w:pPr>
            <w:r>
              <w:rPr>
                <w:rFonts w:hint="eastAsia" w:ascii="宋体" w:hAnsi="宋体" w:eastAsia="宋体" w:cs="宋体"/>
                <w:kern w:val="0"/>
                <w:sz w:val="24"/>
              </w:rPr>
              <w:t>法定代表人（签字或盖章）：</w:t>
            </w:r>
          </w:p>
          <w:p w14:paraId="0970FA43">
            <w:pPr>
              <w:overflowPunct w:val="0"/>
              <w:adjustRightInd w:val="0"/>
              <w:snapToGrid w:val="0"/>
              <w:rPr>
                <w:rFonts w:hint="eastAsia" w:ascii="宋体" w:hAnsi="宋体" w:eastAsia="宋体" w:cs="宋体"/>
                <w:kern w:val="0"/>
                <w:sz w:val="24"/>
              </w:rPr>
            </w:pPr>
          </w:p>
        </w:tc>
        <w:tc>
          <w:tcPr>
            <w:tcW w:w="2501" w:type="pct"/>
          </w:tcPr>
          <w:p w14:paraId="4E3D955C">
            <w:pPr>
              <w:overflowPunct w:val="0"/>
              <w:adjustRightInd w:val="0"/>
              <w:snapToGrid w:val="0"/>
              <w:rPr>
                <w:rFonts w:hint="eastAsia" w:ascii="宋体" w:hAnsi="宋体" w:eastAsia="宋体" w:cs="宋体"/>
                <w:kern w:val="0"/>
                <w:sz w:val="24"/>
              </w:rPr>
            </w:pPr>
            <w:r>
              <w:rPr>
                <w:rFonts w:hint="eastAsia" w:ascii="宋体" w:hAnsi="宋体" w:eastAsia="宋体" w:cs="宋体"/>
                <w:kern w:val="0"/>
                <w:sz w:val="24"/>
              </w:rPr>
              <w:t>法定代表人（签字或盖章）：</w:t>
            </w:r>
          </w:p>
        </w:tc>
      </w:tr>
      <w:tr w14:paraId="2A9210C9">
        <w:tblPrEx>
          <w:tblCellMar>
            <w:top w:w="0" w:type="dxa"/>
            <w:left w:w="108" w:type="dxa"/>
            <w:bottom w:w="0" w:type="dxa"/>
            <w:right w:w="108" w:type="dxa"/>
          </w:tblCellMar>
        </w:tblPrEx>
        <w:trPr>
          <w:trHeight w:val="657" w:hRule="atLeast"/>
        </w:trPr>
        <w:tc>
          <w:tcPr>
            <w:tcW w:w="2499" w:type="pct"/>
          </w:tcPr>
          <w:p w14:paraId="79A160E1">
            <w:pPr>
              <w:overflowPunct w:val="0"/>
              <w:adjustRightInd w:val="0"/>
              <w:snapToGrid w:val="0"/>
              <w:rPr>
                <w:rFonts w:hint="eastAsia" w:ascii="宋体" w:hAnsi="宋体" w:eastAsia="宋体" w:cs="宋体"/>
                <w:kern w:val="0"/>
                <w:sz w:val="24"/>
              </w:rPr>
            </w:pPr>
            <w:r>
              <w:rPr>
                <w:rFonts w:hint="eastAsia" w:ascii="宋体" w:hAnsi="宋体" w:eastAsia="宋体" w:cs="宋体"/>
                <w:kern w:val="0"/>
                <w:sz w:val="24"/>
              </w:rPr>
              <w:t>被授权代表：（签字）</w:t>
            </w:r>
          </w:p>
        </w:tc>
        <w:tc>
          <w:tcPr>
            <w:tcW w:w="2501" w:type="pct"/>
          </w:tcPr>
          <w:p w14:paraId="3F0E81B0">
            <w:pPr>
              <w:overflowPunct w:val="0"/>
              <w:adjustRightInd w:val="0"/>
              <w:snapToGrid w:val="0"/>
              <w:rPr>
                <w:rFonts w:hint="eastAsia" w:ascii="宋体" w:hAnsi="宋体" w:eastAsia="宋体" w:cs="宋体"/>
                <w:kern w:val="0"/>
                <w:sz w:val="24"/>
              </w:rPr>
            </w:pPr>
            <w:r>
              <w:rPr>
                <w:rFonts w:hint="eastAsia" w:ascii="宋体" w:hAnsi="宋体" w:eastAsia="宋体" w:cs="宋体"/>
                <w:kern w:val="0"/>
                <w:sz w:val="24"/>
              </w:rPr>
              <w:t>被授权代表：（签字）</w:t>
            </w:r>
          </w:p>
        </w:tc>
      </w:tr>
      <w:tr w14:paraId="5EFF1544">
        <w:tblPrEx>
          <w:tblCellMar>
            <w:top w:w="0" w:type="dxa"/>
            <w:left w:w="108" w:type="dxa"/>
            <w:bottom w:w="0" w:type="dxa"/>
            <w:right w:w="108" w:type="dxa"/>
          </w:tblCellMar>
        </w:tblPrEx>
        <w:trPr>
          <w:trHeight w:val="437" w:hRule="atLeast"/>
        </w:trPr>
        <w:tc>
          <w:tcPr>
            <w:tcW w:w="2499" w:type="pct"/>
            <w:vAlign w:val="center"/>
          </w:tcPr>
          <w:p w14:paraId="409AAC50">
            <w:pPr>
              <w:overflowPunct w:val="0"/>
              <w:adjustRightInd w:val="0"/>
              <w:snapToGrid w:val="0"/>
              <w:rPr>
                <w:rFonts w:hint="eastAsia" w:ascii="宋体" w:hAnsi="宋体" w:eastAsia="宋体" w:cs="宋体"/>
                <w:kern w:val="0"/>
                <w:sz w:val="24"/>
              </w:rPr>
            </w:pPr>
            <w:r>
              <w:rPr>
                <w:rFonts w:hint="eastAsia" w:ascii="宋体" w:hAnsi="宋体" w:eastAsia="宋体" w:cs="宋体"/>
                <w:kern w:val="0"/>
                <w:sz w:val="24"/>
              </w:rPr>
              <w:t>电话：</w:t>
            </w:r>
          </w:p>
        </w:tc>
        <w:tc>
          <w:tcPr>
            <w:tcW w:w="2501" w:type="pct"/>
            <w:vAlign w:val="center"/>
          </w:tcPr>
          <w:p w14:paraId="08D142DF">
            <w:pPr>
              <w:overflowPunct w:val="0"/>
              <w:adjustRightInd w:val="0"/>
              <w:snapToGrid w:val="0"/>
              <w:rPr>
                <w:rFonts w:hint="eastAsia" w:ascii="宋体" w:hAnsi="宋体" w:eastAsia="宋体" w:cs="宋体"/>
                <w:kern w:val="0"/>
                <w:sz w:val="24"/>
              </w:rPr>
            </w:pPr>
            <w:r>
              <w:rPr>
                <w:rFonts w:hint="eastAsia" w:ascii="宋体" w:hAnsi="宋体" w:eastAsia="宋体" w:cs="宋体"/>
                <w:kern w:val="0"/>
                <w:sz w:val="24"/>
              </w:rPr>
              <w:t>电话：</w:t>
            </w:r>
          </w:p>
        </w:tc>
      </w:tr>
      <w:tr w14:paraId="797FE578">
        <w:tblPrEx>
          <w:tblCellMar>
            <w:top w:w="0" w:type="dxa"/>
            <w:left w:w="108" w:type="dxa"/>
            <w:bottom w:w="0" w:type="dxa"/>
            <w:right w:w="108" w:type="dxa"/>
          </w:tblCellMar>
        </w:tblPrEx>
        <w:trPr>
          <w:trHeight w:val="437" w:hRule="atLeast"/>
        </w:trPr>
        <w:tc>
          <w:tcPr>
            <w:tcW w:w="2499" w:type="pct"/>
            <w:vAlign w:val="center"/>
          </w:tcPr>
          <w:p w14:paraId="7ADFAAA4">
            <w:pPr>
              <w:overflowPunct w:val="0"/>
              <w:adjustRightInd w:val="0"/>
              <w:snapToGrid w:val="0"/>
              <w:rPr>
                <w:rFonts w:hint="eastAsia" w:ascii="宋体" w:hAnsi="宋体" w:eastAsia="宋体" w:cs="宋体"/>
                <w:kern w:val="0"/>
                <w:sz w:val="24"/>
              </w:rPr>
            </w:pPr>
            <w:r>
              <w:rPr>
                <w:rFonts w:hint="eastAsia" w:ascii="宋体" w:hAnsi="宋体" w:eastAsia="宋体" w:cs="宋体"/>
                <w:kern w:val="0"/>
                <w:sz w:val="24"/>
              </w:rPr>
              <w:t>传真：</w:t>
            </w:r>
          </w:p>
        </w:tc>
        <w:tc>
          <w:tcPr>
            <w:tcW w:w="2501" w:type="pct"/>
            <w:vAlign w:val="center"/>
          </w:tcPr>
          <w:p w14:paraId="71A246B8">
            <w:pPr>
              <w:overflowPunct w:val="0"/>
              <w:adjustRightInd w:val="0"/>
              <w:snapToGrid w:val="0"/>
              <w:rPr>
                <w:rFonts w:hint="eastAsia" w:ascii="宋体" w:hAnsi="宋体" w:eastAsia="宋体" w:cs="宋体"/>
                <w:kern w:val="0"/>
                <w:sz w:val="24"/>
              </w:rPr>
            </w:pPr>
            <w:r>
              <w:rPr>
                <w:rFonts w:hint="eastAsia" w:ascii="宋体" w:hAnsi="宋体" w:eastAsia="宋体" w:cs="宋体"/>
                <w:kern w:val="0"/>
                <w:sz w:val="24"/>
              </w:rPr>
              <w:t>传真：</w:t>
            </w:r>
          </w:p>
        </w:tc>
      </w:tr>
      <w:tr w14:paraId="53F89FFA">
        <w:tblPrEx>
          <w:tblCellMar>
            <w:top w:w="0" w:type="dxa"/>
            <w:left w:w="108" w:type="dxa"/>
            <w:bottom w:w="0" w:type="dxa"/>
            <w:right w:w="108" w:type="dxa"/>
          </w:tblCellMar>
        </w:tblPrEx>
        <w:trPr>
          <w:trHeight w:val="437" w:hRule="atLeast"/>
        </w:trPr>
        <w:tc>
          <w:tcPr>
            <w:tcW w:w="2499" w:type="pct"/>
            <w:vAlign w:val="center"/>
          </w:tcPr>
          <w:p w14:paraId="3A932AB3">
            <w:pPr>
              <w:overflowPunct w:val="0"/>
              <w:adjustRightInd w:val="0"/>
              <w:snapToGrid w:val="0"/>
              <w:rPr>
                <w:rFonts w:hint="eastAsia" w:ascii="宋体" w:hAnsi="宋体" w:eastAsia="宋体" w:cs="宋体"/>
                <w:kern w:val="0"/>
                <w:sz w:val="24"/>
              </w:rPr>
            </w:pPr>
            <w:r>
              <w:rPr>
                <w:rFonts w:hint="eastAsia" w:ascii="宋体" w:hAnsi="宋体" w:eastAsia="宋体" w:cs="宋体"/>
                <w:kern w:val="0"/>
                <w:sz w:val="24"/>
              </w:rPr>
              <w:t>开户银行：</w:t>
            </w:r>
          </w:p>
        </w:tc>
        <w:tc>
          <w:tcPr>
            <w:tcW w:w="2501" w:type="pct"/>
            <w:vAlign w:val="center"/>
          </w:tcPr>
          <w:p w14:paraId="3AD9E37A">
            <w:pPr>
              <w:overflowPunct w:val="0"/>
              <w:adjustRightInd w:val="0"/>
              <w:snapToGrid w:val="0"/>
              <w:rPr>
                <w:rFonts w:hint="eastAsia" w:ascii="宋体" w:hAnsi="宋体" w:eastAsia="宋体" w:cs="宋体"/>
                <w:kern w:val="0"/>
                <w:sz w:val="24"/>
              </w:rPr>
            </w:pPr>
            <w:r>
              <w:rPr>
                <w:rFonts w:hint="eastAsia" w:ascii="宋体" w:hAnsi="宋体" w:eastAsia="宋体" w:cs="宋体"/>
                <w:kern w:val="0"/>
                <w:sz w:val="24"/>
              </w:rPr>
              <w:t>开户银行：</w:t>
            </w:r>
          </w:p>
        </w:tc>
      </w:tr>
      <w:tr w14:paraId="069BC3DB">
        <w:tblPrEx>
          <w:tblCellMar>
            <w:top w:w="0" w:type="dxa"/>
            <w:left w:w="108" w:type="dxa"/>
            <w:bottom w:w="0" w:type="dxa"/>
            <w:right w:w="108" w:type="dxa"/>
          </w:tblCellMar>
        </w:tblPrEx>
        <w:trPr>
          <w:trHeight w:val="437" w:hRule="atLeast"/>
        </w:trPr>
        <w:tc>
          <w:tcPr>
            <w:tcW w:w="2499" w:type="pct"/>
            <w:vAlign w:val="center"/>
          </w:tcPr>
          <w:p w14:paraId="041E1FCD">
            <w:pPr>
              <w:overflowPunct w:val="0"/>
              <w:adjustRightInd w:val="0"/>
              <w:snapToGrid w:val="0"/>
              <w:rPr>
                <w:rFonts w:hint="eastAsia" w:ascii="宋体" w:hAnsi="宋体" w:eastAsia="宋体" w:cs="宋体"/>
                <w:kern w:val="0"/>
                <w:sz w:val="24"/>
              </w:rPr>
            </w:pPr>
            <w:r>
              <w:rPr>
                <w:rFonts w:hint="eastAsia" w:ascii="宋体" w:hAnsi="宋体" w:eastAsia="宋体" w:cs="宋体"/>
                <w:kern w:val="0"/>
                <w:sz w:val="24"/>
              </w:rPr>
              <w:t>账号:</w:t>
            </w:r>
          </w:p>
        </w:tc>
        <w:tc>
          <w:tcPr>
            <w:tcW w:w="2501" w:type="pct"/>
            <w:vAlign w:val="center"/>
          </w:tcPr>
          <w:p w14:paraId="12B6B71E">
            <w:pPr>
              <w:overflowPunct w:val="0"/>
              <w:adjustRightInd w:val="0"/>
              <w:snapToGrid w:val="0"/>
              <w:rPr>
                <w:rFonts w:hint="eastAsia" w:ascii="宋体" w:hAnsi="宋体" w:eastAsia="宋体" w:cs="宋体"/>
                <w:kern w:val="0"/>
                <w:sz w:val="24"/>
              </w:rPr>
            </w:pPr>
            <w:r>
              <w:rPr>
                <w:rFonts w:hint="eastAsia" w:ascii="宋体" w:hAnsi="宋体" w:eastAsia="宋体" w:cs="宋体"/>
                <w:kern w:val="0"/>
                <w:sz w:val="24"/>
              </w:rPr>
              <w:t>账号:</w:t>
            </w:r>
          </w:p>
        </w:tc>
      </w:tr>
      <w:tr w14:paraId="5A389B4E">
        <w:tblPrEx>
          <w:tblCellMar>
            <w:top w:w="0" w:type="dxa"/>
            <w:left w:w="108" w:type="dxa"/>
            <w:bottom w:w="0" w:type="dxa"/>
            <w:right w:w="108" w:type="dxa"/>
          </w:tblCellMar>
        </w:tblPrEx>
        <w:trPr>
          <w:trHeight w:val="437" w:hRule="atLeast"/>
        </w:trPr>
        <w:tc>
          <w:tcPr>
            <w:tcW w:w="2499" w:type="pct"/>
            <w:vAlign w:val="center"/>
          </w:tcPr>
          <w:p w14:paraId="20B566C0">
            <w:pPr>
              <w:overflowPunct w:val="0"/>
              <w:adjustRightInd w:val="0"/>
              <w:snapToGrid w:val="0"/>
              <w:rPr>
                <w:rFonts w:hint="eastAsia" w:ascii="宋体" w:hAnsi="宋体" w:eastAsia="宋体" w:cs="宋体"/>
                <w:kern w:val="0"/>
                <w:sz w:val="24"/>
              </w:rPr>
            </w:pPr>
            <w:r>
              <w:rPr>
                <w:rFonts w:hint="eastAsia" w:ascii="宋体" w:hAnsi="宋体" w:eastAsia="宋体" w:cs="宋体"/>
                <w:kern w:val="0"/>
                <w:sz w:val="24"/>
              </w:rPr>
              <w:t>日期：       年   月   日</w:t>
            </w:r>
          </w:p>
        </w:tc>
        <w:tc>
          <w:tcPr>
            <w:tcW w:w="2501" w:type="pct"/>
            <w:vAlign w:val="center"/>
          </w:tcPr>
          <w:p w14:paraId="6A33A472">
            <w:pPr>
              <w:overflowPunct w:val="0"/>
              <w:adjustRightInd w:val="0"/>
              <w:snapToGrid w:val="0"/>
              <w:rPr>
                <w:rFonts w:hint="eastAsia" w:ascii="宋体" w:hAnsi="宋体" w:eastAsia="宋体" w:cs="宋体"/>
                <w:kern w:val="0"/>
                <w:sz w:val="24"/>
              </w:rPr>
            </w:pPr>
            <w:r>
              <w:rPr>
                <w:rFonts w:hint="eastAsia" w:ascii="宋体" w:hAnsi="宋体" w:eastAsia="宋体" w:cs="宋体"/>
                <w:kern w:val="0"/>
                <w:sz w:val="24"/>
              </w:rPr>
              <w:t>日期：      年   月   日</w:t>
            </w:r>
          </w:p>
        </w:tc>
      </w:tr>
    </w:tbl>
    <w:p w14:paraId="48AADCC5">
      <w:pPr>
        <w:widowControl/>
        <w:spacing w:line="360" w:lineRule="auto"/>
        <w:ind w:firstLine="420"/>
        <w:jc w:val="left"/>
        <w:rPr>
          <w:rFonts w:hint="eastAsia" w:ascii="宋体" w:hAnsi="宋体" w:eastAsia="宋体" w:cs="Times New Roman"/>
          <w:sz w:val="24"/>
        </w:rPr>
      </w:pPr>
    </w:p>
    <w:bookmarkEnd w:id="0"/>
    <w:bookmarkEnd w:id="1"/>
    <w:p w14:paraId="5DE45ECF">
      <w:pPr>
        <w:spacing w:line="500" w:lineRule="exact"/>
        <w:ind w:firstLine="420" w:firstLineChars="200"/>
      </w:pPr>
    </w:p>
    <w:p w14:paraId="1D1624F6">
      <w:pPr>
        <w:pStyle w:val="8"/>
        <w:rPr>
          <w:rFonts w:hint="default"/>
        </w:rPr>
      </w:pPr>
    </w:p>
    <w:p w14:paraId="2336B4AF">
      <w:pPr>
        <w:adjustRightInd w:val="0"/>
        <w:snapToGrid w:val="0"/>
        <w:spacing w:line="460" w:lineRule="exact"/>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1429"/>
    <w:rsid w:val="000002DB"/>
    <w:rsid w:val="00004C40"/>
    <w:rsid w:val="00024047"/>
    <w:rsid w:val="00047E5B"/>
    <w:rsid w:val="000A059B"/>
    <w:rsid w:val="00132F20"/>
    <w:rsid w:val="001964EF"/>
    <w:rsid w:val="001A2CB2"/>
    <w:rsid w:val="001D6FF9"/>
    <w:rsid w:val="00226635"/>
    <w:rsid w:val="00236D95"/>
    <w:rsid w:val="00270D18"/>
    <w:rsid w:val="002D7E3E"/>
    <w:rsid w:val="002E1F82"/>
    <w:rsid w:val="00340DB5"/>
    <w:rsid w:val="00353417"/>
    <w:rsid w:val="003564A6"/>
    <w:rsid w:val="00383297"/>
    <w:rsid w:val="00417E19"/>
    <w:rsid w:val="00465AED"/>
    <w:rsid w:val="00515B70"/>
    <w:rsid w:val="0054048F"/>
    <w:rsid w:val="005877C2"/>
    <w:rsid w:val="005C3975"/>
    <w:rsid w:val="00604835"/>
    <w:rsid w:val="006B11E3"/>
    <w:rsid w:val="006B3747"/>
    <w:rsid w:val="006B766F"/>
    <w:rsid w:val="006D55EF"/>
    <w:rsid w:val="007A2AA9"/>
    <w:rsid w:val="00845E01"/>
    <w:rsid w:val="008519DD"/>
    <w:rsid w:val="00863958"/>
    <w:rsid w:val="008A576A"/>
    <w:rsid w:val="00917E3A"/>
    <w:rsid w:val="00923568"/>
    <w:rsid w:val="009437B1"/>
    <w:rsid w:val="0098750C"/>
    <w:rsid w:val="00996E34"/>
    <w:rsid w:val="00A77008"/>
    <w:rsid w:val="00B04A1A"/>
    <w:rsid w:val="00B16710"/>
    <w:rsid w:val="00B52EFD"/>
    <w:rsid w:val="00B91137"/>
    <w:rsid w:val="00BE1429"/>
    <w:rsid w:val="00C57F89"/>
    <w:rsid w:val="00C64027"/>
    <w:rsid w:val="00C66DE0"/>
    <w:rsid w:val="00C86C78"/>
    <w:rsid w:val="00D07C0E"/>
    <w:rsid w:val="00D242D1"/>
    <w:rsid w:val="00DE71D4"/>
    <w:rsid w:val="00E51ED7"/>
    <w:rsid w:val="00E55784"/>
    <w:rsid w:val="00ED699A"/>
    <w:rsid w:val="00ED70E0"/>
    <w:rsid w:val="00F32569"/>
    <w:rsid w:val="00F75CAA"/>
    <w:rsid w:val="00FA638E"/>
    <w:rsid w:val="01C1455F"/>
    <w:rsid w:val="1C685784"/>
    <w:rsid w:val="371B736D"/>
    <w:rsid w:val="7B0420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paragraph" w:customStyle="1" w:styleId="8">
    <w:name w:val="null3"/>
    <w:hidden/>
    <w:qFormat/>
    <w:uiPriority w:val="0"/>
    <w:rPr>
      <w:rFonts w:hint="eastAsia" w:asciiTheme="minorHAnsi" w:hAnsiTheme="minorHAnsi" w:eastAsiaTheme="minorEastAsia" w:cstheme="minorBidi"/>
      <w:kern w:val="0"/>
      <w:sz w:val="20"/>
      <w:szCs w:val="20"/>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4982</Words>
  <Characters>5299</Characters>
  <Lines>167</Lines>
  <Paragraphs>161</Paragraphs>
  <TotalTime>34</TotalTime>
  <ScaleCrop>false</ScaleCrop>
  <LinksUpToDate>false</LinksUpToDate>
  <CharactersWithSpaces>5838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2024-05-08T03:03:00Z</dcterms:created>
  <dc:creator>SQ W</dc:creator>
  <cp:lastModifiedBy>WPS_1655884565</cp:lastModifiedBy>
  <dcterms:modified xsi:type="dcterms:W3CDTF">2025-11-12T03:34:08Z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eyJoZGlkIjoiNDFiZGM4Njk2MTdkNTU1NGNhNDJjZjliNTMwYzJmY2YiLCJ1c2VySWQiOiIxMzg3NTcxMjQ2In0=</vt:lpwstr>
  </property>
  <property fmtid="{D5CDD505-2E9C-101B-9397-08002B2CF9AE}" pid="3" name="KSOProductBuildVer">
    <vt:lpwstr>2052-12.1.0.23125</vt:lpwstr>
  </property>
  <property fmtid="{D5CDD505-2E9C-101B-9397-08002B2CF9AE}" pid="4" name="ICV">
    <vt:lpwstr>0EDAFD69347E471CB781FC13DAEC67D0_12</vt:lpwstr>
  </property>
</Properties>
</file>