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8B4FF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财务状况报告</w:t>
      </w:r>
    </w:p>
    <w:p w14:paraId="72263BFD">
      <w:pPr>
        <w:ind w:firstLine="420" w:firstLineChars="200"/>
        <w:rPr>
          <w:rFonts w:hint="eastAsia"/>
        </w:rPr>
      </w:pPr>
    </w:p>
    <w:p w14:paraId="5BE892E8">
      <w:pPr>
        <w:spacing w:line="360" w:lineRule="auto"/>
        <w:ind w:firstLine="480" w:firstLineChars="200"/>
        <w:rPr>
          <w:sz w:val="24"/>
          <w:szCs w:val="32"/>
          <w:highlight w:val="yellow"/>
        </w:rPr>
      </w:pPr>
      <w:r>
        <w:rPr>
          <w:rFonts w:hint="eastAsia"/>
          <w:sz w:val="24"/>
          <w:szCs w:val="32"/>
          <w:highlight w:val="none"/>
        </w:rPr>
        <w:t>提供2024年度经审计的供应商财务报告（包括 “四表一注”即《资产负债表》《利润表》《现金流量表》《所有者权益变动表》及其附注）或者提供磋商文件递交截止时间3个月内其基本账户开户银行出具的资信证明。供应商成立不到一年的，可提供企业任意时段财务报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8064EB"/>
    <w:rsid w:val="46CF1A36"/>
    <w:rsid w:val="5088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107</Characters>
  <Lines>0</Lines>
  <Paragraphs>0</Paragraphs>
  <TotalTime>2</TotalTime>
  <ScaleCrop>false</ScaleCrop>
  <LinksUpToDate>false</LinksUpToDate>
  <CharactersWithSpaces>108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2025-12-24T07:09:00Z</dcterms:created>
  <dc:creator>Administrator</dc:creator>
  <cp:lastModifiedBy>安之若素</cp:lastModifiedBy>
  <dcterms:modified xsi:type="dcterms:W3CDTF">2026-01-04T08:05:51Z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eyJoZGlkIjoiYmY4ZTBmNWI0YzhiNTM2YTcxNmM3ZjUxM2JmMGI0OTQiLCJ1c2VySWQiOiIyNDIzNjE5NzIifQ==</vt:lpwstr>
  </property>
  <property fmtid="{D5CDD505-2E9C-101B-9397-08002B2CF9AE}" pid="4" name="ICV">
    <vt:lpwstr>FBDC7A29154B47E9A596DDC2E5EF0FBD_13</vt:lpwstr>
  </property>
</Properties>
</file>