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版本号：DZYH-202504720251207001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西合高铁商洛至南阳段专题研究项目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DZYH-2025047</w:t>
      </w:r>
      <w:r>
        <w:br/>
      </w:r>
      <w:r>
        <w:br/>
      </w:r>
      <w:r>
        <w:br/>
      </w:r>
    </w:p>
    <w:p>
      <w:pPr>
        <w:pStyle w:val="null3"/>
        <w:jc w:val="center"/>
        <w:outlineLvl w:val="2"/>
      </w:pPr>
      <w:r>
        <w:rPr>
          <w:rFonts w:ascii="仿宋_GB2312" w:hAnsi="仿宋_GB2312" w:cs="仿宋_GB2312" w:eastAsia="仿宋_GB2312"/>
          <w:sz w:val="28"/>
          <w:b/>
        </w:rPr>
        <w:t>商洛市发展和改革委员会</w:t>
      </w:r>
    </w:p>
    <w:p>
      <w:pPr>
        <w:pStyle w:val="null3"/>
        <w:jc w:val="center"/>
        <w:outlineLvl w:val="2"/>
      </w:pPr>
      <w:r>
        <w:rPr>
          <w:rFonts w:ascii="仿宋_GB2312" w:hAnsi="仿宋_GB2312" w:cs="仿宋_GB2312" w:eastAsia="仿宋_GB2312"/>
          <w:sz w:val="28"/>
          <w:b/>
        </w:rPr>
        <w:t>陕西德正跃恒项目管理有限公司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陕西德正跃恒项目管理有限公司</w:t>
      </w:r>
      <w:r>
        <w:rPr>
          <w:rFonts w:ascii="仿宋_GB2312" w:hAnsi="仿宋_GB2312" w:cs="仿宋_GB2312" w:eastAsia="仿宋_GB2312"/>
        </w:rPr>
        <w:t>（以下简称“代理机构”）受</w:t>
      </w:r>
      <w:r>
        <w:rPr>
          <w:rFonts w:ascii="仿宋_GB2312" w:hAnsi="仿宋_GB2312" w:cs="仿宋_GB2312" w:eastAsia="仿宋_GB2312"/>
        </w:rPr>
        <w:t>商洛市发展和改革委员会</w:t>
      </w:r>
      <w:r>
        <w:rPr>
          <w:rFonts w:ascii="仿宋_GB2312" w:hAnsi="仿宋_GB2312" w:cs="仿宋_GB2312" w:eastAsia="仿宋_GB2312"/>
        </w:rPr>
        <w:t>委托，拟对</w:t>
      </w:r>
      <w:r>
        <w:rPr>
          <w:rFonts w:ascii="仿宋_GB2312" w:hAnsi="仿宋_GB2312" w:cs="仿宋_GB2312" w:eastAsia="仿宋_GB2312"/>
        </w:rPr>
        <w:t>西合高铁商洛至南阳段专题研究项目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DZYH-2025047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西合高铁商洛至南阳段专题研究项目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合高铁过境商洛客流需求分析、西合高铁经商洛方案与其他方案工程投资比较分析和西合高铁路网通道效能比较分析研究报告。服务期：合同签订日起180日历天内完成并提交成果报告送审稿，研究报告通过审查后30日历天内提交研究终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2、法定代表人授权书：法定代表人授权书及被授权人身份证明。（法定代表人直接磋商只须提交其身份证明）</w:t>
      </w:r>
    </w:p>
    <w:p>
      <w:pPr>
        <w:pStyle w:val="null3"/>
      </w:pPr>
      <w:r>
        <w:rPr>
          <w:rFonts w:ascii="仿宋_GB2312" w:hAnsi="仿宋_GB2312" w:cs="仿宋_GB2312" w:eastAsia="仿宋_GB2312"/>
        </w:rPr>
        <w:t>3、信誉要求：投标人未被“信用中国”网站（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4、税收缴纳证明：供应商应提供响应文件递交截止日期前6个月内已缴纳的任意一个月的纳税证明（任意税种）或完税证明，依法免税的单位应提供相关证明材料</w:t>
      </w:r>
    </w:p>
    <w:p>
      <w:pPr>
        <w:pStyle w:val="null3"/>
      </w:pPr>
      <w:r>
        <w:rPr>
          <w:rFonts w:ascii="仿宋_GB2312" w:hAnsi="仿宋_GB2312" w:cs="仿宋_GB2312" w:eastAsia="仿宋_GB2312"/>
        </w:rPr>
        <w:t>5、社会保障资金缴纳证明：供应商应提供响应文件递交截止日期前6个月内已缴纳的任意一个月的社会保障资金银行缴费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7、本项目允许联合体投标：联合体投标的，应满足下列要求:①联合体成员不得超过2家单位，且具有合法有效的联合体协议书，本项目只接受由牵头人购买本项目磋商文件；联合体牵头单位代表联合体各方办理本项目招标活动过程中的一切事务。牵头单位和其法定代表人或其委托代理人的印章或签字代表联合体成员单位相应的印章或签字；②以联合体身份购买磋商文件后,联合体参与方不允许更换；③所有参与联合体投标的成员只能在本项目投标中参与一次,不得以任何形式再参加本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商州区名人街46号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13992414042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陕西德正跃恒项目管理有限公司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陕西省商洛市商州区陕西省商洛市商州区城关街道办事处四皓社区第三人民医院院内南边小三层三楼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17691285005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开户名称：陕西德正跃恒项目管理有限公司</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银行账号：961000010027438908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 号）及《国家发展改革委关于降低部分建设项目收费标准规范收费行为等有关问题的通知》（发改价格[2011]534号）规定标准收取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商洛市发展和改革委员会</w:t>
      </w:r>
      <w:r>
        <w:rPr>
          <w:rFonts w:ascii="仿宋_GB2312" w:hAnsi="仿宋_GB2312" w:cs="仿宋_GB2312" w:eastAsia="仿宋_GB2312"/>
        </w:rPr>
        <w:t>和</w:t>
      </w:r>
      <w:r>
        <w:rPr>
          <w:rFonts w:ascii="仿宋_GB2312" w:hAnsi="仿宋_GB2312" w:cs="仿宋_GB2312" w:eastAsia="仿宋_GB2312"/>
        </w:rPr>
        <w:t>陕西德正跃恒项目管理有限公司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陕西德正跃恒项目管理有限公司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陕西德正跃恒项目管理有限公司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联系人：王琳</w:t>
      </w:r>
    </w:p>
    <w:p>
      <w:pPr>
        <w:pStyle w:val="null3"/>
      </w:pPr>
      <w:r>
        <w:rPr>
          <w:rFonts w:ascii="仿宋_GB2312" w:hAnsi="仿宋_GB2312" w:cs="仿宋_GB2312" w:eastAsia="仿宋_GB2312"/>
        </w:rPr>
        <w:t>联系电话：17691285005</w:t>
      </w:r>
    </w:p>
    <w:p>
      <w:pPr>
        <w:pStyle w:val="null3"/>
      </w:pPr>
      <w:r>
        <w:rPr>
          <w:rFonts w:ascii="仿宋_GB2312" w:hAnsi="仿宋_GB2312" w:cs="仿宋_GB2312" w:eastAsia="仿宋_GB2312"/>
        </w:rPr>
        <w:t>地址：商州区同城置业大厦16楼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合高铁过境商洛客流需求分析、西合高铁经商洛方案与其他方案工程投资比较分析和西合高铁路网通道效能比较分析研究报告。服务期：合同签订日起180日历天内完成并提交成果报告送审稿，研究报告通过审查后30日历天内提交研究终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西合高铁商洛至南阳段专题研究项目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标的名称：西合高铁商洛至南阳段专题研究项目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内容：按照国家、陕西省及铁路行业颁布的现行设计规程、规范、铁路技术政策、工程建设强制性标准，根据最新国家铁路网规划，结合现场调研情况，开展西合高铁过境商洛客流需求分析、西合高铁经商洛方案与其他方案工程投资比较分析、西合高铁路网通道效能比较分析三项专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质量标准：符合国家及行业质量验收合格标准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服务期：合同签订日起180日历天内完成并提交成果报告送审稿，研究报告通过审查后30日历天内提交研究终稿。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1.方案编制完成后，由采购单位组织专家对方案编制情况进行审查验收。 2.成交单位若最终未按时提交实施方案，将按违约予以撤项，已拨付的经费要如数退回。 3.因不可抗力原因需要延期验收，编制单位须向采购人提出书面申请。经批准后在一定期限内仍无法完成实施方案编制任务的，应提前报告并办理撤项手续。</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甲方应于合同签订和收到符合约定的增值税专用发票之日起 5 个工作日内按照合同总价款的 60 %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乙方提交研究报告并经甲方验收合格后，在收到符合约定的增值税专用发票 5 个工作日内按照合同总价款的 40 %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的，采购单位会同采购代理机构有权终止合同，依法向中标供应商进行经济索赔，并报请政府采购监督管理机关进行相应的行政处罚。采购单位违约的，应当赔偿给中标供应商造成的经济损失。 合同争议的解决：合同执行中发生争议的，当事人双方应协商解决，协商达不成一致时，可向采购人住所地有管辖权的人民法院提起诉讼。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1.为保证项目存档使用,供应商须递交纸质版响应文件，纸质版响应文件递交要求：正本壹份、副本壹份、电子版文件贰份（U盘）。 2.密封包装方式：投标文件正本一个封袋、副本一个封袋、电子版文件放置正本封袋内，电子版文件须粘贴注明投标人名称的标签。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供应商应提供2024年度财务审计报告（至少包括资产负债表和利润表，成立时间至提交响应文件递交截止时间不足一年的可提供成立后任意时段的资产负债表），或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参与的供应商（联合体）服务全部由符合政策要求的企业承接。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法定代表人身份证明书.docx 供应商应提交的相关资格证明材料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供应商应提供响应文件递交截止日期前6个月内已缴纳的任意一个月的纳税证明（任意税种）或完税证明，依法免税的单位应提供相关证明材料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供应商应提供响应文件递交截止日期前6个月内已缴纳的任意一个月的社会保障资金银行缴费单据或社保机构开具的社会保险参保缴费情况证明，依法不需要缴纳社会保障资金的单位应提供相关证明材料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参加政府采购活动前三年内，在经营活动中没有重大违法记录.docx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本项目允许联合体投标</w:t>
            </w:r>
          </w:p>
        </w:tc>
        <w:tc>
          <w:tcPr>
            <w:tcW w:type="dxa" w:w="3322"/>
          </w:tcPr>
          <w:p>
            <w:pPr>
              <w:pStyle w:val="null3"/>
            </w:pPr>
            <w:r>
              <w:rPr>
                <w:rFonts w:ascii="仿宋_GB2312" w:hAnsi="仿宋_GB2312" w:cs="仿宋_GB2312" w:eastAsia="仿宋_GB2312"/>
              </w:rPr>
              <w:t>联合体投标的，应满足下列要求:①联合体成员不得超过2家单位，且具有合法有效的联合体协议书，本项目只接受由牵头人购买本项目磋商文件；联合体牵头单位代表联合体各方办理本项目招标活动过程中的一切事务。牵头单位和其法定代表人或其委托代理人的印章或签字代表联合体成员单位相应的印章或签字；②以联合体身份购买磋商文件后,联合体参与方不允许更换；③所有参与联合体投标的成员只能在本项目投标中参与一次,不得以任何形式再参加本项目的投标。</w:t>
            </w:r>
          </w:p>
        </w:tc>
        <w:tc>
          <w:tcPr>
            <w:tcW w:type="dxa" w:w="1661"/>
          </w:tcPr>
          <w:p>
            <w:pPr>
              <w:pStyle w:val="null3"/>
            </w:pPr>
            <w:r>
              <w:rPr>
                <w:rFonts w:ascii="仿宋_GB2312" w:hAnsi="仿宋_GB2312" w:cs="仿宋_GB2312" w:eastAsia="仿宋_GB2312"/>
              </w:rPr>
              <w:t>供应商应提交的相关资格证明材料 联合体协议书.docx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项目的理解和总体编制思路</w:t>
            </w:r>
          </w:p>
        </w:tc>
        <w:tc>
          <w:tcPr>
            <w:tcW w:type="dxa" w:w="2492"/>
          </w:tcPr>
          <w:p>
            <w:pPr>
              <w:pStyle w:val="null3"/>
            </w:pPr>
            <w:r>
              <w:rPr>
                <w:rFonts w:ascii="仿宋_GB2312" w:hAnsi="仿宋_GB2312" w:cs="仿宋_GB2312" w:eastAsia="仿宋_GB2312"/>
              </w:rPr>
              <w:t>（1）总体编制思路清晰、目标明确，对服务的各项工作和要求理解到位，符合本项目要求得12-20分； （2）总体编制思路较清晰、目标较明确，对服务的各项工作理解较好，符合项目要求得4-12分； （3）总体编制有思路，但不清晰，对项目的各项工作理解不够到位得0-4分； （4）其他不得分。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项目的特点、关键技术问题的认识及其对策措施</w:t>
            </w:r>
          </w:p>
        </w:tc>
        <w:tc>
          <w:tcPr>
            <w:tcW w:type="dxa" w:w="2492"/>
          </w:tcPr>
          <w:p>
            <w:pPr>
              <w:pStyle w:val="null3"/>
            </w:pPr>
            <w:r>
              <w:rPr>
                <w:rFonts w:ascii="仿宋_GB2312" w:hAnsi="仿宋_GB2312" w:cs="仿宋_GB2312" w:eastAsia="仿宋_GB2312"/>
              </w:rPr>
              <w:t>（1）项目的特点、关键技术问题的认识清晰明确，其对策措施合理全面，得10-15分； （2）项目的特点、关键技术问题的认识较为清晰明确，其对策措施较为合理可行，得5-10分； （3）项目的特点、关键技术问题的认识不清晰，其对策措施不足，得0-5分； （4）其他不得分。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（1）质量保证措施、进度保证措施合理全面、有效保证服务的质量，满足采购需求得7-10分； （2）质量保证措施、进度保证措施合理可行，满足采购需求得4-7分； （3）质量保证措施、进度保证措施不足，保障性不高得0-4分。 （4）其他不得分。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后续服务的安排及保证措施</w:t>
            </w:r>
          </w:p>
        </w:tc>
        <w:tc>
          <w:tcPr>
            <w:tcW w:type="dxa" w:w="2492"/>
          </w:tcPr>
          <w:p>
            <w:pPr>
              <w:pStyle w:val="null3"/>
            </w:pPr>
            <w:r>
              <w:rPr>
                <w:rFonts w:ascii="仿宋_GB2312" w:hAnsi="仿宋_GB2312" w:cs="仿宋_GB2312" w:eastAsia="仿宋_GB2312"/>
              </w:rPr>
              <w:t>（1）后续服务的安排及保证措施全面、可行，符合本项要求得6-10分； （2）后续服务的安排及保证措施较全面、可行，符合本项要求得2-6分； （3）后续服务的安排及保证措施不全面、不可行，符合本项要求得0-2分； （4）其他不得分。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工作量计划安排及进度保证措施</w:t>
            </w:r>
          </w:p>
        </w:tc>
        <w:tc>
          <w:tcPr>
            <w:tcW w:type="dxa" w:w="2492"/>
          </w:tcPr>
          <w:p>
            <w:pPr>
              <w:pStyle w:val="null3"/>
            </w:pPr>
            <w:r>
              <w:rPr>
                <w:rFonts w:ascii="仿宋_GB2312" w:hAnsi="仿宋_GB2312" w:cs="仿宋_GB2312" w:eastAsia="仿宋_GB2312"/>
              </w:rPr>
              <w:t>（1）对本项目时间进度的安排合理，措施得当可靠，能提前完成，得7-10分； （2）对本项目时间进度的安排较为合理，基本能按时完成的，得4-7分； （3）对本项目时间进度的安排不合理，不能确保按时完成的，得0-4分。 （4）其他不得分。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项目负责人具有铁路相关专业高级（或以上）技术职称，得3分；拟派团队专业人员配备齐全并提供相关证明材料(包括但不限于人员履历、相关资格证书、相关经验)，要求配备人员数量充足、岗位明确、管理构架合理，相关证明材料完整齐全得0-7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（1）对本项目的合理化建议叙述全面、合理，得6-10分； （2）对本项目的合理化建议叙述较全面、合理，得2-6分； （3）对本项目的合理化建议叙述不够全面、合理，得0-2分。 （4）其他不得分。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履约经验</w:t>
            </w:r>
          </w:p>
        </w:tc>
        <w:tc>
          <w:tcPr>
            <w:tcW w:type="dxa" w:w="2492"/>
          </w:tcPr>
          <w:p>
            <w:pPr>
              <w:pStyle w:val="null3"/>
            </w:pPr>
            <w:r>
              <w:rPr>
                <w:rFonts w:ascii="仿宋_GB2312" w:hAnsi="仿宋_GB2312" w:cs="仿宋_GB2312" w:eastAsia="仿宋_GB2312"/>
              </w:rPr>
              <w:t>提供供应商2020年1月1日至今类似项目业绩（以合同签订时间为准），每提供一份有效业绩计2.5分，最高计5分。若提供虚假业绩，一经发现，按无效文件处理。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 价格分= (评标基准价／投标报价)×报价分值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详见附件：参加政府采购活动前三年内，在经营活动中没有重大违法记录.docx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详见附件：合同模板(1) -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