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版本号：SXTCH-CG-202500720251209001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外包安保服务项目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SXTCH-CG-2025007</w:t>
      </w:r>
      <w:r>
        <w:br/>
      </w:r>
      <w:r>
        <w:br/>
      </w:r>
      <w:r>
        <w:br/>
      </w:r>
    </w:p>
    <w:p>
      <w:pPr>
        <w:pStyle w:val="null3"/>
        <w:jc w:val="center"/>
        <w:outlineLvl w:val="2"/>
      </w:pPr>
      <w:r>
        <w:rPr>
          <w:rFonts w:ascii="仿宋_GB2312" w:hAnsi="仿宋_GB2312" w:cs="仿宋_GB2312" w:eastAsia="仿宋_GB2312"/>
          <w:sz w:val="28"/>
          <w:b/>
        </w:rPr>
        <w:t>商洛市中心医院</w:t>
      </w:r>
    </w:p>
    <w:p>
      <w:pPr>
        <w:pStyle w:val="null3"/>
        <w:jc w:val="center"/>
        <w:outlineLvl w:val="2"/>
      </w:pPr>
      <w:r>
        <w:rPr>
          <w:rFonts w:ascii="仿宋_GB2312" w:hAnsi="仿宋_GB2312" w:cs="仿宋_GB2312" w:eastAsia="仿宋_GB2312"/>
          <w:sz w:val="28"/>
          <w:b/>
        </w:rPr>
        <w:t>陕西泰昌恒工程管理有限公司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陕西泰昌恒工程管理有限公司</w:t>
      </w:r>
      <w:r>
        <w:rPr>
          <w:rFonts w:ascii="仿宋_GB2312" w:hAnsi="仿宋_GB2312" w:cs="仿宋_GB2312" w:eastAsia="仿宋_GB2312"/>
        </w:rPr>
        <w:t>（以下简称“代理机构”）受</w:t>
      </w:r>
      <w:r>
        <w:rPr>
          <w:rFonts w:ascii="仿宋_GB2312" w:hAnsi="仿宋_GB2312" w:cs="仿宋_GB2312" w:eastAsia="仿宋_GB2312"/>
        </w:rPr>
        <w:t>商洛市中心医院</w:t>
      </w:r>
      <w:r>
        <w:rPr>
          <w:rFonts w:ascii="仿宋_GB2312" w:hAnsi="仿宋_GB2312" w:cs="仿宋_GB2312" w:eastAsia="仿宋_GB2312"/>
        </w:rPr>
        <w:t>委托，拟对</w:t>
      </w:r>
      <w:r>
        <w:rPr>
          <w:rFonts w:ascii="仿宋_GB2312" w:hAnsi="仿宋_GB2312" w:cs="仿宋_GB2312" w:eastAsia="仿宋_GB2312"/>
        </w:rPr>
        <w:t>外包安保服务项目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SXTCH-CG-2025007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外包安保服务项目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商洛市中心医院主院区坐落于商鞅大道与朝阳路交汇处，三面临街，占地201亩，总建筑面积22.7万平方米，规划床位1800张，是一所无围墙的大型现代化园林式医院。医院下辖一院三区（即医疗区本部、医院东区、精卫中心院区及家属院福利区），是国家级胸痛中心示范点和省级危重孕产妇救治中心、卒中中心、创伤中心，现有省级临床重点专科3个，市级重点专科及医疗质量控制中心45个。全院共有93个科室，其中临床科室57个，医技科室10个，行政职能科室26个。为持续提升医院安保服务效能，筑牢医患安全屏障，结合医院实际工作需要，现亟需完成外包安保服务项目招标采购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1、供应商资质：应具备公安机关核发的《保安服务许可证》</w:t>
      </w:r>
    </w:p>
    <w:p>
      <w:pPr>
        <w:pStyle w:val="null3"/>
      </w:pPr>
      <w:r>
        <w:rPr>
          <w:rFonts w:ascii="仿宋_GB2312" w:hAnsi="仿宋_GB2312" w:cs="仿宋_GB2312" w:eastAsia="仿宋_GB2312"/>
        </w:rPr>
        <w:t>2、信用查询：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陕西省商洛市北新街西段148号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金老师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09142180023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陕西泰昌恒工程管理有限公司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西安市雁塔区丈八一路汇鑫中心C座907室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秦力、安芷琪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15399145235、15664772891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采购包1：1,940,400.00元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开户名称：陕西泰昌恒工程管理有限公司</w:t>
            </w:r>
          </w:p>
          <w:p>
            <w:pPr>
              <w:pStyle w:val="null3"/>
            </w:pPr>
            <w:r>
              <w:rPr>
                <w:rFonts w:ascii="仿宋_GB2312" w:hAnsi="仿宋_GB2312" w:cs="仿宋_GB2312" w:eastAsia="仿宋_GB2312"/>
              </w:rPr>
              <w:t>开户银行：陕西镇安农村商业银行股份有限公司新城支行</w:t>
            </w:r>
          </w:p>
          <w:p>
            <w:pPr>
              <w:pStyle w:val="null3"/>
            </w:pPr>
            <w:r>
              <w:rPr>
                <w:rFonts w:ascii="仿宋_GB2312" w:hAnsi="仿宋_GB2312" w:cs="仿宋_GB2312" w:eastAsia="仿宋_GB2312"/>
              </w:rPr>
              <w:t>银行账号：2708060501201000026196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价格为基础，参照《招标代理服务收费管理暂行办法》的通知（计价格[2002]1980号）和《关于招标代理服务收费有关问题的通知》（发改办价格[2003]857号）的有关规定80%收取，具体收费金额将在成交公告中公布，在发出成交通知书前由成交供应商向代理机构一次性支付。 2、代理服务费可以采取现金、支票、银行汇票、电汇、网银等方式缴纳。 3、代理服务费缴纳信息： 银行户名：陕西泰昌恒工程管理有限公司 开户银行：中国工商银行股份有限公司西安曲江支行 账号：3700051309100066224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商洛市中心医院</w:t>
      </w:r>
      <w:r>
        <w:rPr>
          <w:rFonts w:ascii="仿宋_GB2312" w:hAnsi="仿宋_GB2312" w:cs="仿宋_GB2312" w:eastAsia="仿宋_GB2312"/>
        </w:rPr>
        <w:t>和</w:t>
      </w:r>
      <w:r>
        <w:rPr>
          <w:rFonts w:ascii="仿宋_GB2312" w:hAnsi="仿宋_GB2312" w:cs="仿宋_GB2312" w:eastAsia="仿宋_GB2312"/>
        </w:rPr>
        <w:t>陕西泰昌恒工程管理有限公司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陕西泰昌恒工程管理有限公司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陕西泰昌恒工程管理有限公司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按照招标文件、投标文件及合同文本约定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陕西泰昌恒工程管理有限公司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陕西泰昌恒工程管理有限公司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陕西泰昌恒工程管理有限公司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联系人：秦力/安芷琪</w:t>
      </w:r>
    </w:p>
    <w:p>
      <w:pPr>
        <w:pStyle w:val="null3"/>
      </w:pPr>
      <w:r>
        <w:rPr>
          <w:rFonts w:ascii="仿宋_GB2312" w:hAnsi="仿宋_GB2312" w:cs="仿宋_GB2312" w:eastAsia="仿宋_GB2312"/>
        </w:rPr>
        <w:t>联系电话：15399145235/15664772891</w:t>
      </w:r>
    </w:p>
    <w:p>
      <w:pPr>
        <w:pStyle w:val="null3"/>
      </w:pPr>
      <w:r>
        <w:rPr>
          <w:rFonts w:ascii="仿宋_GB2312" w:hAnsi="仿宋_GB2312" w:cs="仿宋_GB2312" w:eastAsia="仿宋_GB2312"/>
        </w:rPr>
        <w:t>地址：西安市雁塔区丈八一路汇鑫中心C座907室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商洛市中心医院主院区坐落于商鞅大道与朝阳路交汇处，三面临街，占地201亩，总建筑面积22.7万平方米，规划床位1800张，是一所无围墙的大型现代化园林式医院。医院下辖一院三区（即医疗区本部、医院东区、精卫中心院区及家属院福利区），是国家级胸痛中心示范点和省级危重孕产妇救治中心、卒中中心、创伤中心，现有省级临床重点专科3个，市级重点专科及医疗质量控制中心45个。全院共有93个科室，其中临床科室57个，医技科室10个，行政职能科室26个。为持续提升医院安保服务效能，筑牢医患安全屏障，结合医院实际工作需要，现亟需完成外包安保服务项目招标采购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1,940,400.00</w:t>
      </w:r>
    </w:p>
    <w:p>
      <w:pPr>
        <w:pStyle w:val="null3"/>
      </w:pPr>
      <w:r>
        <w:rPr>
          <w:rFonts w:ascii="仿宋_GB2312" w:hAnsi="仿宋_GB2312" w:cs="仿宋_GB2312" w:eastAsia="仿宋_GB2312"/>
        </w:rPr>
        <w:t>采购包最高限价（元）: 1,940,400.00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1940400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1,940,400.00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标的名称：1940400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采购内容：采购专职保安人员</w:t>
            </w:r>
            <w:r>
              <w:rPr>
                <w:rFonts w:ascii="仿宋_GB2312" w:hAnsi="仿宋_GB2312" w:cs="仿宋_GB2312" w:eastAsia="仿宋_GB2312"/>
                <w:sz w:val="20"/>
              </w:rPr>
              <w:t>49人</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服务期限：1.项目服务期限：本项目服务期限为两年，即730日历日，合同一年一签。</w:t>
            </w:r>
          </w:p>
          <w:p>
            <w:pPr>
              <w:pStyle w:val="null3"/>
            </w:pPr>
            <w:r>
              <w:rPr>
                <w:rFonts w:ascii="仿宋_GB2312" w:hAnsi="仿宋_GB2312" w:cs="仿宋_GB2312" w:eastAsia="仿宋_GB2312"/>
                <w:sz w:val="21"/>
              </w:rPr>
              <w:t xml:space="preserve"> 2.要求各投标单位按照按年度服务期价格进行报价。</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0"/>
              </w:rPr>
              <w:t>项目服务区域</w:t>
            </w:r>
          </w:p>
          <w:p>
            <w:pPr>
              <w:pStyle w:val="null3"/>
            </w:pPr>
            <w:r>
              <w:rPr>
                <w:rFonts w:ascii="仿宋_GB2312" w:hAnsi="仿宋_GB2312" w:cs="仿宋_GB2312" w:eastAsia="仿宋_GB2312"/>
                <w:sz w:val="20"/>
              </w:rPr>
              <w:t>商洛市中心医院医疗区本部（包含精卫中心</w:t>
            </w:r>
            <w:r>
              <w:rPr>
                <w:rFonts w:ascii="仿宋_GB2312" w:hAnsi="仿宋_GB2312" w:cs="仿宋_GB2312" w:eastAsia="仿宋_GB2312"/>
                <w:sz w:val="20"/>
              </w:rPr>
              <w:t>2人、家属院2人）。</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0"/>
              </w:rPr>
              <w:t>服务内容</w:t>
            </w:r>
          </w:p>
          <w:p>
            <w:pPr>
              <w:pStyle w:val="null3"/>
            </w:pPr>
            <w:r>
              <w:rPr>
                <w:rFonts w:ascii="仿宋_GB2312" w:hAnsi="仿宋_GB2312" w:cs="仿宋_GB2312" w:eastAsia="仿宋_GB2312"/>
                <w:sz w:val="20"/>
              </w:rPr>
              <w:t>1.安保服务：做好外围入口执勤、门诊执勤、安全巡查，在治安保障科的指导下做好医院范围内的公共安全秩序的维护与管理及消防安全、巡逻、</w:t>
            </w:r>
            <w:r>
              <w:rPr>
                <w:rFonts w:ascii="仿宋_GB2312" w:hAnsi="仿宋_GB2312" w:cs="仿宋_GB2312" w:eastAsia="仿宋_GB2312"/>
                <w:sz w:val="20"/>
              </w:rPr>
              <w:t>安检、</w:t>
            </w:r>
            <w:r>
              <w:rPr>
                <w:rFonts w:ascii="仿宋_GB2312" w:hAnsi="仿宋_GB2312" w:cs="仿宋_GB2312" w:eastAsia="仿宋_GB2312"/>
                <w:sz w:val="20"/>
              </w:rPr>
              <w:t>停车管理</w:t>
            </w:r>
            <w:r>
              <w:rPr>
                <w:rFonts w:ascii="仿宋_GB2312" w:hAnsi="仿宋_GB2312" w:cs="仿宋_GB2312" w:eastAsia="仿宋_GB2312"/>
                <w:sz w:val="20"/>
              </w:rPr>
              <w:t>等</w:t>
            </w:r>
            <w:r>
              <w:rPr>
                <w:rFonts w:ascii="仿宋_GB2312" w:hAnsi="仿宋_GB2312" w:cs="仿宋_GB2312" w:eastAsia="仿宋_GB2312"/>
                <w:sz w:val="20"/>
              </w:rPr>
              <w:t>工作，</w:t>
            </w:r>
            <w:r>
              <w:rPr>
                <w:rFonts w:ascii="仿宋_GB2312" w:hAnsi="仿宋_GB2312" w:cs="仿宋_GB2312" w:eastAsia="仿宋_GB2312"/>
                <w:sz w:val="20"/>
              </w:rPr>
              <w:t>开展防火、防盗、防诈骗、防爆炸、防抢劫、防治安灾害事故等治安防范工作；配合做好患者就诊引导服务；</w:t>
            </w:r>
          </w:p>
          <w:p>
            <w:pPr>
              <w:pStyle w:val="null3"/>
            </w:pPr>
            <w:r>
              <w:rPr>
                <w:rFonts w:ascii="仿宋_GB2312" w:hAnsi="仿宋_GB2312" w:cs="仿宋_GB2312" w:eastAsia="仿宋_GB2312"/>
                <w:sz w:val="20"/>
              </w:rPr>
              <w:t>2.院内交通秩序及停车场管理服务：做好车辆出入的引导，保证车辆停放有序，制止院内乱停乱放车辆，保证120绿色通道畅通和院内主干道畅通无阻。</w:t>
            </w:r>
          </w:p>
          <w:p>
            <w:pPr>
              <w:pStyle w:val="null3"/>
            </w:pPr>
            <w:r>
              <w:rPr>
                <w:rFonts w:ascii="仿宋_GB2312" w:hAnsi="仿宋_GB2312" w:cs="仿宋_GB2312" w:eastAsia="仿宋_GB2312"/>
                <w:sz w:val="20"/>
              </w:rPr>
              <w:t>3.临时配合事项：按照医院要求积极参与安保服务相关的各项临时性、配合性的工作。</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0"/>
              </w:rPr>
              <w:t>人员设置及要求</w:t>
            </w:r>
          </w:p>
          <w:p>
            <w:pPr>
              <w:pStyle w:val="null3"/>
            </w:pPr>
            <w:r>
              <w:rPr>
                <w:rFonts w:ascii="仿宋_GB2312" w:hAnsi="仿宋_GB2312" w:cs="仿宋_GB2312" w:eastAsia="仿宋_GB2312"/>
                <w:sz w:val="20"/>
              </w:rPr>
              <w:t>保安公司在人员配备时，应遵循人岗相符、合理科学的原则。按照医院工作实际，对工作人员的具</w:t>
            </w:r>
            <w:r>
              <w:rPr>
                <w:rFonts w:ascii="仿宋_GB2312" w:hAnsi="仿宋_GB2312" w:cs="仿宋_GB2312" w:eastAsia="仿宋_GB2312"/>
                <w:sz w:val="20"/>
              </w:rPr>
              <w:t>体要求如下：</w:t>
            </w:r>
          </w:p>
          <w:p>
            <w:pPr>
              <w:pStyle w:val="null3"/>
            </w:pPr>
            <w:r>
              <w:rPr>
                <w:rFonts w:ascii="仿宋_GB2312" w:hAnsi="仿宋_GB2312" w:cs="仿宋_GB2312" w:eastAsia="仿宋_GB2312"/>
                <w:sz w:val="20"/>
              </w:rPr>
              <w:t>1.岗位要求：安保人员年龄在50岁以下</w:t>
            </w:r>
            <w:r>
              <w:rPr>
                <w:rFonts w:ascii="仿宋_GB2312" w:hAnsi="仿宋_GB2312" w:cs="仿宋_GB2312" w:eastAsia="仿宋_GB2312"/>
                <w:sz w:val="20"/>
              </w:rPr>
              <w:t>（</w:t>
            </w:r>
            <w:r>
              <w:rPr>
                <w:rFonts w:ascii="仿宋_GB2312" w:hAnsi="仿宋_GB2312" w:cs="仿宋_GB2312" w:eastAsia="仿宋_GB2312"/>
                <w:sz w:val="20"/>
              </w:rPr>
              <w:t>女性人员不少于</w:t>
            </w:r>
            <w:r>
              <w:rPr>
                <w:rFonts w:ascii="仿宋_GB2312" w:hAnsi="仿宋_GB2312" w:cs="仿宋_GB2312" w:eastAsia="仿宋_GB2312"/>
                <w:sz w:val="20"/>
              </w:rPr>
              <w:t>12</w:t>
            </w: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，持保安资格证上岗，持</w:t>
            </w:r>
            <w:r>
              <w:rPr>
                <w:rFonts w:ascii="仿宋_GB2312" w:hAnsi="仿宋_GB2312" w:cs="仿宋_GB2312" w:eastAsia="仿宋_GB2312"/>
                <w:sz w:val="20"/>
              </w:rPr>
              <w:t>C1驾驶证不少于5人。</w:t>
            </w:r>
          </w:p>
          <w:p>
            <w:pPr>
              <w:pStyle w:val="null3"/>
            </w:pPr>
            <w:r>
              <w:rPr>
                <w:rFonts w:ascii="仿宋_GB2312" w:hAnsi="仿宋_GB2312" w:cs="仿宋_GB2312" w:eastAsia="仿宋_GB2312"/>
                <w:sz w:val="20"/>
              </w:rPr>
              <w:t>2.人员服务要求：工作人员应品行端正，工作责任心强，重视个人仪容仪表，保持文明服务和文明用语；上班前，工作人员应着工服、戴工牌，检查着装情况，确保着装干净整洁；工作中，工作人员应文明服务、礼貌待人，服从统一管理，遵守医院的纪律和制度。</w:t>
            </w:r>
          </w:p>
          <w:p>
            <w:pPr>
              <w:pStyle w:val="null3"/>
            </w:pPr>
            <w:r>
              <w:rPr>
                <w:rFonts w:ascii="仿宋_GB2312" w:hAnsi="仿宋_GB2312" w:cs="仿宋_GB2312" w:eastAsia="仿宋_GB2312"/>
                <w:sz w:val="20"/>
              </w:rPr>
              <w:t>（提供的安保人员不符合医院要求或不遵守医院规定时，必须无条件进行更换调整）</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0"/>
              </w:rPr>
              <w:t>服务岗位</w:t>
            </w:r>
          </w:p>
          <w:p>
            <w:pPr>
              <w:pStyle w:val="null3"/>
            </w:pPr>
            <w:r>
              <w:rPr>
                <w:rFonts w:ascii="仿宋_GB2312" w:hAnsi="仿宋_GB2312" w:cs="仿宋_GB2312" w:eastAsia="仿宋_GB2312"/>
                <w:sz w:val="20"/>
              </w:rPr>
              <w:t>合计</w:t>
            </w:r>
            <w:r>
              <w:rPr>
                <w:rFonts w:ascii="仿宋_GB2312" w:hAnsi="仿宋_GB2312" w:cs="仿宋_GB2312" w:eastAsia="仿宋_GB2312"/>
                <w:sz w:val="20"/>
              </w:rPr>
              <w:t>49人，其中：</w:t>
            </w:r>
          </w:p>
          <w:p>
            <w:pPr>
              <w:pStyle w:val="null3"/>
            </w:pPr>
            <w:r>
              <w:rPr>
                <w:rFonts w:ascii="仿宋_GB2312" w:hAnsi="仿宋_GB2312" w:cs="仿宋_GB2312" w:eastAsia="仿宋_GB2312"/>
                <w:sz w:val="20"/>
              </w:rPr>
              <w:t>地库引导人员</w:t>
            </w:r>
            <w:r>
              <w:rPr>
                <w:rFonts w:ascii="仿宋_GB2312" w:hAnsi="仿宋_GB2312" w:cs="仿宋_GB2312" w:eastAsia="仿宋_GB2312"/>
                <w:sz w:val="20"/>
              </w:rPr>
              <w:t>：</w:t>
            </w:r>
            <w:r>
              <w:rPr>
                <w:rFonts w:ascii="仿宋_GB2312" w:hAnsi="仿宋_GB2312" w:cs="仿宋_GB2312" w:eastAsia="仿宋_GB2312"/>
                <w:sz w:val="20"/>
              </w:rPr>
              <w:t>9人</w:t>
            </w:r>
          </w:p>
          <w:p>
            <w:pPr>
              <w:pStyle w:val="null3"/>
            </w:pPr>
            <w:r>
              <w:rPr>
                <w:rFonts w:ascii="仿宋_GB2312" w:hAnsi="仿宋_GB2312" w:cs="仿宋_GB2312" w:eastAsia="仿宋_GB2312"/>
                <w:sz w:val="20"/>
              </w:rPr>
              <w:t>医院出入口</w:t>
            </w:r>
            <w:r>
              <w:rPr>
                <w:rFonts w:ascii="仿宋_GB2312" w:hAnsi="仿宋_GB2312" w:cs="仿宋_GB2312" w:eastAsia="仿宋_GB2312"/>
                <w:sz w:val="20"/>
              </w:rPr>
              <w:t>：</w:t>
            </w:r>
            <w:r>
              <w:rPr>
                <w:rFonts w:ascii="仿宋_GB2312" w:hAnsi="仿宋_GB2312" w:cs="仿宋_GB2312" w:eastAsia="仿宋_GB2312"/>
                <w:sz w:val="20"/>
              </w:rPr>
              <w:t>15人</w:t>
            </w:r>
          </w:p>
          <w:p>
            <w:pPr>
              <w:pStyle w:val="null3"/>
            </w:pPr>
            <w:r>
              <w:rPr>
                <w:rFonts w:ascii="仿宋_GB2312" w:hAnsi="仿宋_GB2312" w:cs="仿宋_GB2312" w:eastAsia="仿宋_GB2312"/>
                <w:sz w:val="20"/>
              </w:rPr>
              <w:t>门诊执勤</w:t>
            </w:r>
            <w:r>
              <w:rPr>
                <w:rFonts w:ascii="仿宋_GB2312" w:hAnsi="仿宋_GB2312" w:cs="仿宋_GB2312" w:eastAsia="仿宋_GB2312"/>
                <w:sz w:val="20"/>
              </w:rPr>
              <w:t>（</w:t>
            </w:r>
            <w:r>
              <w:rPr>
                <w:rFonts w:ascii="仿宋_GB2312" w:hAnsi="仿宋_GB2312" w:cs="仿宋_GB2312" w:eastAsia="仿宋_GB2312"/>
                <w:sz w:val="20"/>
              </w:rPr>
              <w:t>含安检</w:t>
            </w:r>
            <w:r>
              <w:rPr>
                <w:rFonts w:ascii="仿宋_GB2312" w:hAnsi="仿宋_GB2312" w:cs="仿宋_GB2312" w:eastAsia="仿宋_GB2312"/>
                <w:sz w:val="20"/>
              </w:rPr>
              <w:t>）：</w:t>
            </w:r>
            <w:r>
              <w:rPr>
                <w:rFonts w:ascii="仿宋_GB2312" w:hAnsi="仿宋_GB2312" w:cs="仿宋_GB2312" w:eastAsia="仿宋_GB2312"/>
                <w:sz w:val="20"/>
              </w:rPr>
              <w:t>16人</w:t>
            </w:r>
          </w:p>
          <w:p>
            <w:pPr>
              <w:pStyle w:val="null3"/>
            </w:pPr>
            <w:r>
              <w:rPr>
                <w:rFonts w:ascii="仿宋_GB2312" w:hAnsi="仿宋_GB2312" w:cs="仿宋_GB2312" w:eastAsia="仿宋_GB2312"/>
                <w:sz w:val="20"/>
              </w:rPr>
              <w:t>巡逻</w:t>
            </w:r>
            <w:r>
              <w:rPr>
                <w:rFonts w:ascii="仿宋_GB2312" w:hAnsi="仿宋_GB2312" w:cs="仿宋_GB2312" w:eastAsia="仿宋_GB2312"/>
                <w:sz w:val="20"/>
              </w:rPr>
              <w:t>：</w:t>
            </w:r>
            <w:r>
              <w:rPr>
                <w:rFonts w:ascii="仿宋_GB2312" w:hAnsi="仿宋_GB2312" w:cs="仿宋_GB2312" w:eastAsia="仿宋_GB2312"/>
                <w:sz w:val="20"/>
              </w:rPr>
              <w:t>3人</w:t>
            </w:r>
          </w:p>
          <w:p>
            <w:pPr>
              <w:pStyle w:val="null3"/>
            </w:pPr>
            <w:r>
              <w:rPr>
                <w:rFonts w:ascii="仿宋_GB2312" w:hAnsi="仿宋_GB2312" w:cs="仿宋_GB2312" w:eastAsia="仿宋_GB2312"/>
                <w:sz w:val="20"/>
              </w:rPr>
              <w:t>摆渡</w:t>
            </w:r>
            <w:r>
              <w:rPr>
                <w:rFonts w:ascii="仿宋_GB2312" w:hAnsi="仿宋_GB2312" w:cs="仿宋_GB2312" w:eastAsia="仿宋_GB2312"/>
                <w:sz w:val="20"/>
              </w:rPr>
              <w:t>：</w:t>
            </w:r>
            <w:r>
              <w:rPr>
                <w:rFonts w:ascii="仿宋_GB2312" w:hAnsi="仿宋_GB2312" w:cs="仿宋_GB2312" w:eastAsia="仿宋_GB2312"/>
                <w:sz w:val="20"/>
              </w:rPr>
              <w:t>2人</w:t>
            </w:r>
          </w:p>
          <w:p>
            <w:pPr>
              <w:pStyle w:val="null3"/>
            </w:pPr>
            <w:r>
              <w:rPr>
                <w:rFonts w:ascii="仿宋_GB2312" w:hAnsi="仿宋_GB2312" w:cs="仿宋_GB2312" w:eastAsia="仿宋_GB2312"/>
                <w:sz w:val="20"/>
              </w:rPr>
              <w:t>家属院、精卫中心执勤岗位</w:t>
            </w:r>
            <w:r>
              <w:rPr>
                <w:rFonts w:ascii="仿宋_GB2312" w:hAnsi="仿宋_GB2312" w:cs="仿宋_GB2312" w:eastAsia="仿宋_GB2312"/>
                <w:sz w:val="20"/>
              </w:rPr>
              <w:t>：</w:t>
            </w:r>
            <w:r>
              <w:rPr>
                <w:rFonts w:ascii="仿宋_GB2312" w:hAnsi="仿宋_GB2312" w:cs="仿宋_GB2312" w:eastAsia="仿宋_GB2312"/>
                <w:sz w:val="20"/>
              </w:rPr>
              <w:t>各</w:t>
            </w:r>
            <w:r>
              <w:rPr>
                <w:rFonts w:ascii="仿宋_GB2312" w:hAnsi="仿宋_GB2312" w:cs="仿宋_GB2312" w:eastAsia="仿宋_GB2312"/>
                <w:sz w:val="20"/>
              </w:rPr>
              <w:t>2人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服务期限：1.项目服务期限：本项目服务期限为两年，即730日历日，合同一年一签。2.要求各投标单位按照按年度服务期价格进行报价。</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商洛市中心医院指定地点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根据采购文件要求、磋商响应文件及合同约定执行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2.为保障政府采购电子化交易平台项目实施，供应商需要在线提交所有通过电子化交易平台实施的政府采购项目的响应文件，成交供应商在中标（成交）结果公示期结束后须向代理机构提交纸质版响应文件正本1套、副本2套、电子版(U盘1份）。纸质响应文件应与电子响应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营业执照等主体资格证明文件：提供有效存续的企业营业执照（副本）/事业单位法人证书/专业服务机构执业许可证/民办非企业单位登记证书等扫描件； （2）提供2024年度经审计的供应商财务报告（包括 “四表一注”即《资产负债表》《利润表》《现金流量表》《所有者权益变动表》及其附注）或其递交响应文件截止之日前六个月内基本开户银行出具的资信证明，或信用担保机构出具的投标担保函（以上三种形式的资料提供任何一种即可）（3）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 （4）社会保障资金缴纳证明：提供递交响应文件截止之日前一年内任意一个月的社会保障资金缴存单据或社保机构开具的社会保险参保缴费情况证明。依法不需要缴纳社会保障资金的供应商应提供相关文件证明； （5）提供具有履行合同所必需的设备和专业技术能力承诺函；（格式详见附件）（6）供应商参加本次磋商前3年内，在经营活动中没有重大违法记录的书面声明；（格式详见附件）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应具备公安机关核发的《保安服务许可证》</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磋商响应报价表.docx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按照采购文件要求签署、盖章</w:t>
            </w:r>
          </w:p>
        </w:tc>
        <w:tc>
          <w:tcPr>
            <w:tcW w:type="dxa" w:w="1661"/>
          </w:tcPr>
          <w:p>
            <w:pPr>
              <w:pStyle w:val="null3"/>
            </w:pPr>
            <w:r>
              <w:rPr>
                <w:rFonts w:ascii="仿宋_GB2312" w:hAnsi="仿宋_GB2312" w:cs="仿宋_GB2312" w:eastAsia="仿宋_GB2312"/>
              </w:rPr>
              <w:t>响应文件封面 磋商响应报价表.docx 法定代表人（单位负责人自然人）身份证明.docx 中小企业声明函 授权委托书.docx 残疾人福利性单位声明函 技术商务响应部分.docx 标的清单 其他材料.docx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只能有一个有效报价，不得提交选择性报价，且报价不超过磋商文件规定的采购预算或最高限价</w:t>
            </w:r>
          </w:p>
        </w:tc>
        <w:tc>
          <w:tcPr>
            <w:tcW w:type="dxa" w:w="1661"/>
          </w:tcPr>
          <w:p>
            <w:pPr>
              <w:pStyle w:val="null3"/>
            </w:pPr>
            <w:r>
              <w:rPr>
                <w:rFonts w:ascii="仿宋_GB2312" w:hAnsi="仿宋_GB2312" w:cs="仿宋_GB2312" w:eastAsia="仿宋_GB2312"/>
              </w:rPr>
              <w:t>磋商响应报价表.docx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磋商响应报价表.docx 响应文件封面 技术商务响应部分.docx 其他材料.docx 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响应文件封面 磋商响应报价表.docx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拟派人员数量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磋商响应报价表.docx 技术商务响应部分.docx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总体方案1: 服务内容及标准</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总体方案2: 服务理念及目标</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总体方案3：重点难点分析及保障措施</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秩序维护服务方案1：秩序维护</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秩序维护服务方案2：突发情况处置</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巡查服务方案1：安全巡查</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巡查服务方案2：重点场所值守</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巡查服务方案3：紧急情况处理</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培训考核方案1：岗位知识培训计划</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管理制度1岗位制度：具有岗位工作标准、服务质量标准、现场质量控制体系；</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管理制度2内控制度：具有管理组织机构、问责机制、监督机制、自查制度；</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管理制度3人员管理制度：具有员工日常管理办法、请销假制度、奖惩措施、激励机制、仪容仪表制度。</w:t>
            </w:r>
          </w:p>
        </w:tc>
        <w:tc>
          <w:tcPr>
            <w:tcW w:type="dxa" w:w="2492"/>
          </w:tcPr>
          <w:p>
            <w:pPr>
              <w:pStyle w:val="null3"/>
            </w:pPr>
            <w:r>
              <w:rPr>
                <w:rFonts w:ascii="仿宋_GB2312" w:hAnsi="仿宋_GB2312" w:cs="仿宋_GB2312" w:eastAsia="仿宋_GB2312"/>
              </w:rPr>
              <w:t>专门针对本项目编制，符合项目实际情况及实施要求，内容详尽且涵盖角度全面，合理性和可行性强，能够保障项目顺利实施的，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专门针对本项目编制，基本符合项目实际情况及实施要求，但方案涵盖角度不全面且实施有难度的，得2分；内容简单笼统，实施难度大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拟派人员配备</w:t>
            </w:r>
          </w:p>
        </w:tc>
        <w:tc>
          <w:tcPr>
            <w:tcW w:type="dxa" w:w="2492"/>
          </w:tcPr>
          <w:p>
            <w:pPr>
              <w:pStyle w:val="null3"/>
            </w:pPr>
            <w:r>
              <w:rPr>
                <w:rFonts w:ascii="仿宋_GB2312" w:hAnsi="仿宋_GB2312" w:cs="仿宋_GB2312" w:eastAsia="仿宋_GB2312"/>
              </w:rPr>
              <w:t>1、针对本项目服务人员的配备方案，人员配备科学合理，有详细的人员列表，且信息完善有相应的资格证书得3分；人员配备科学合理，有详细的人员列表，且信息较完善得2分；其他情况得1分。 2、其中拟派人员中具有退伍军人的每人0.5分，最多得2分。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配套装备</w:t>
            </w:r>
          </w:p>
        </w:tc>
        <w:tc>
          <w:tcPr>
            <w:tcW w:type="dxa" w:w="2492"/>
          </w:tcPr>
          <w:p>
            <w:pPr>
              <w:pStyle w:val="null3"/>
            </w:pPr>
            <w:r>
              <w:rPr>
                <w:rFonts w:ascii="仿宋_GB2312" w:hAnsi="仿宋_GB2312" w:cs="仿宋_GB2312" w:eastAsia="仿宋_GB2312"/>
              </w:rPr>
              <w:t>针对本项目拟投入的配套装备情况进行打分，配套装备、器具齐全，种类全面，确保安保服务工作高效有序进行得4分；配套装备、器具较齐全，基本符合项目实施的整体安排得2-3分；其他情况得1分。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工作配合的保障措施</w:t>
            </w:r>
          </w:p>
        </w:tc>
        <w:tc>
          <w:tcPr>
            <w:tcW w:type="dxa" w:w="2492"/>
          </w:tcPr>
          <w:p>
            <w:pPr>
              <w:pStyle w:val="null3"/>
            </w:pPr>
            <w:r>
              <w:rPr>
                <w:rFonts w:ascii="仿宋_GB2312" w:hAnsi="仿宋_GB2312" w:cs="仿宋_GB2312" w:eastAsia="仿宋_GB2312"/>
              </w:rPr>
              <w:t>针对本项目服务人员与采购人工作配合的保障措施： 措施内容完整，具有较强的可行性，能体现工作配合过程的具体流程，确保服务人员与采购人工作配合高效、合理、有序进行得4分；措施内容基本完整，能确保服务人员与采购人工作配合正常进行得2-3分；其他情况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服务承诺1：承诺接受采购人对管理服务的监督、批评和建议。</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4分；评审内容针对本项目编制，符合项目实际情况及实施要求，内容详尽且涵盖角度基本全面，有一定的合理性和可行性的得2-3分；其他情况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服务承诺2：承诺所配备人员稳定，若出现安保服务人员因病不能工作的，及时调配其他安保服务人员补充，确保安保服务工作的正常进行；</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4分；评审内容针对本项目编制，符合项目实际情况及实施要求，内容详尽且涵盖角度基本全面，有一定的合理性和可行性的得2-3分；其他情况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服务承诺3：除以上承诺外，供应商可根据自身情况在承接具体安保服务项目时给予其他的承诺事项，应以优质、具体、可行为原则。</w:t>
            </w:r>
          </w:p>
        </w:tc>
        <w:tc>
          <w:tcPr>
            <w:tcW w:type="dxa" w:w="2492"/>
          </w:tcPr>
          <w:p>
            <w:pPr>
              <w:pStyle w:val="null3"/>
            </w:pPr>
            <w:r>
              <w:rPr>
                <w:rFonts w:ascii="仿宋_GB2312" w:hAnsi="仿宋_GB2312" w:cs="仿宋_GB2312" w:eastAsia="仿宋_GB2312"/>
              </w:rPr>
              <w:t>评审内容针对本项目编制，符合项目实际情况及实施要求，内容详尽且涵盖角度全面，合理性和可行性强得4分；评审内容针对本项目编制，符合项目实际情况及实施要求，内容详尽且涵盖角度基本全面，有一定的合理性和可行性的得2-3分；其他情况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技术商务响应部分.docx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 2022 年1月1日至今具有同类项目业绩（业绩以合同为准），每提供1个业绩得1分，最高得5分；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技术商务响应部分.docx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磋商响应报价表.docx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详见附件：法定代表人（单位负责人自然人）身份证明.docx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详见附件：磋商响应报价表.docx</w:t>
      </w:r>
    </w:p>
    <w:p>
      <w:pPr>
        <w:pStyle w:val="null3"/>
        <w:ind w:firstLine="960"/>
      </w:pPr>
      <w:r>
        <w:rPr>
          <w:rFonts w:ascii="仿宋_GB2312" w:hAnsi="仿宋_GB2312" w:cs="仿宋_GB2312" w:eastAsia="仿宋_GB2312"/>
        </w:rPr>
        <w:t>详见附件：技术商务响应部分.docx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