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版本号：ZB2025-0002920250819001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2025年度商洛市秦岭中段(北麓)水源涵养与生物多样性保护恢复项目作业设计采购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ZB2025-00029</w:t>
      </w:r>
      <w:r>
        <w:br/>
      </w:r>
      <w:r>
        <w:br/>
      </w:r>
      <w:r>
        <w:br/>
      </w:r>
    </w:p>
    <w:p>
      <w:pPr>
        <w:pStyle w:val="null3"/>
        <w:jc w:val="center"/>
        <w:outlineLvl w:val="2"/>
      </w:pPr>
      <w:r>
        <w:rPr>
          <w:rFonts w:ascii="仿宋_GB2312" w:hAnsi="仿宋_GB2312" w:cs="仿宋_GB2312" w:eastAsia="仿宋_GB2312"/>
          <w:sz w:val="28"/>
          <w:b/>
        </w:rPr>
        <w:t>商洛市飞播管理站</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商洛市飞播管理站</w:t>
      </w:r>
      <w:r>
        <w:rPr>
          <w:rFonts w:ascii="仿宋_GB2312" w:hAnsi="仿宋_GB2312" w:cs="仿宋_GB2312" w:eastAsia="仿宋_GB2312"/>
        </w:rPr>
        <w:t>委托，拟对</w:t>
      </w:r>
      <w:r>
        <w:rPr>
          <w:rFonts w:ascii="仿宋_GB2312" w:hAnsi="仿宋_GB2312" w:cs="仿宋_GB2312" w:eastAsia="仿宋_GB2312"/>
        </w:rPr>
        <w:t>2025年度商洛市秦岭中段(北麓)水源涵养与生物多样性保护恢复项目作业设计采购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ZB2025-00029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2025年度商洛市秦岭中段(北麓)水源涵养与生物多样性保护恢复项目作业设计采购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1.项目实施地点 本项目实施地点包括以下三个县（区）：商州区、洛南县、柞水县。 2.项目主要建设内容及规模 本 项目为2025年度商洛市秦岭中段(北麓)水源涵养与生物多样性保护恢复项目作业设计，包括商州区、洛南县、柞水县三 个县（区）的人工造乔木林、封山育林、退化林修复的作业设计，面积规模约24.245万亩，其中：商州区封山育林 14000亩，退化林修复55000亩；洛南县人工造乔木林250亩，封山育林35000亩，退化林修复43000亩；柞水县人工 造乔木林200亩，封山育林30000亩，退化林修复65000亩。 本项目需要在规定时间内分别完成： （1）2025年度商 洛市秦岭中段(北麓)水源涵养与生物多样性保护恢复项目--商州区封山育林、退化林修复的作业设计； （2）2025年度商 洛市秦岭中段(北麓)水源涵养与生物多样性保护恢复项目--洛南县人工造乔木林、封山育林、退化林修复的作业设计； （3）2025年度商洛市秦岭中段(北麓)水源涵养与生物多样性保护恢复项目--柞水县人工造乔木林、封山育林、退化林修 复的作业设计；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合法人员：供应商应授权合法的人员通过电子化交易系统以在线方式进行投标，其中法定代表人直接参加投标时电子投标文件须附法定代表人身份证明；法定代表人授权委托代理人参加投标时电子响应文件须附法定代表人授权委托书；</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p>
      <w:pPr>
        <w:pStyle w:val="null3"/>
      </w:pPr>
      <w:r>
        <w:rPr>
          <w:rFonts w:ascii="仿宋_GB2312" w:hAnsi="仿宋_GB2312" w:cs="仿宋_GB2312" w:eastAsia="仿宋_GB2312"/>
        </w:rPr>
        <w:t>3、资质要求：供应商应具备林业调查规划设计乙级及以上资质；</w:t>
      </w:r>
    </w:p>
    <w:p>
      <w:pPr>
        <w:pStyle w:val="null3"/>
      </w:pPr>
      <w:r>
        <w:rPr>
          <w:rFonts w:ascii="仿宋_GB2312" w:hAnsi="仿宋_GB2312" w:cs="仿宋_GB2312" w:eastAsia="仿宋_GB2312"/>
        </w:rPr>
        <w:t>4、联合体投标：本项目（合同包）不接受联合体投标。提交非联合体形式参加本项目投标的声明函。供应商需在项目电子化交易系统中按要求上传相应证明文件并进行电子签章。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商洛市飞播管理站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商洛市飞播管理站经办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18992406980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西安曲江新区雁展路1111号莱安中心T3-16层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15389145898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采购包1：3,199,800.00元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开户名称：信宇腾远工程咨询集团有限公司</w:t>
            </w:r>
          </w:p>
          <w:p>
            <w:pPr>
              <w:pStyle w:val="null3"/>
            </w:pPr>
            <w:r>
              <w:rPr>
                <w:rFonts w:ascii="仿宋_GB2312" w:hAnsi="仿宋_GB2312" w:cs="仿宋_GB2312" w:eastAsia="仿宋_GB2312"/>
              </w:rPr>
              <w:t>开户银行：陕西商南农村商业银行股份有限公司</w:t>
            </w:r>
          </w:p>
          <w:p>
            <w:pPr>
              <w:pStyle w:val="null3"/>
            </w:pPr>
            <w:r>
              <w:rPr>
                <w:rFonts w:ascii="仿宋_GB2312" w:hAnsi="仿宋_GB2312" w:cs="仿宋_GB2312" w:eastAsia="仿宋_GB2312"/>
              </w:rPr>
              <w:t>银行账号：2708 0501 0120 1000 0878 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代理服务费收费标准：1、按照国家计委计价格[2002]1980号及发改办价格[2003]857号通知规定的标准计取，由中标单位支付采购代理服务费。 2、支付方式：中标单位应在领取通知书前，向信宇腾远工程咨询集团有限公司交纳本项目代理服务费。 缴纳方式：银行转账 3、代理服务费缴纳账户： 开户单位：信宇腾远工程咨询集团有限公司 开户银行：陕西商南农村商业银行股份有限公司 账 号：2708 0501 0120 1000 0878 57 开户行号：4028 0340 1227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商洛市飞播管理站</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商洛市飞播管理站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商洛市飞播管理站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按照合同约定完成所有服务内容，向采购人提交验收申请。</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联系人：张健</w:t>
      </w:r>
    </w:p>
    <w:p>
      <w:pPr>
        <w:pStyle w:val="null3"/>
      </w:pPr>
      <w:r>
        <w:rPr>
          <w:rFonts w:ascii="仿宋_GB2312" w:hAnsi="仿宋_GB2312" w:cs="仿宋_GB2312" w:eastAsia="仿宋_GB2312"/>
        </w:rPr>
        <w:t>联系电话：15389145898</w:t>
      </w:r>
    </w:p>
    <w:p>
      <w:pPr>
        <w:pStyle w:val="null3"/>
      </w:pPr>
      <w:r>
        <w:rPr>
          <w:rFonts w:ascii="仿宋_GB2312" w:hAnsi="仿宋_GB2312" w:cs="仿宋_GB2312" w:eastAsia="仿宋_GB2312"/>
        </w:rPr>
        <w:t>地址：西安曲江新区雁展路1111号莱安中心T3-16层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1.项目实施地点 本项目实施地点包括以下三个县（区）：商州区、洛南县、柞水县。 2.项目主要建设内容及规模 本项目为2025年度商洛市秦岭中段(北麓)水源涵养与生物多样性保护恢复项目作业设计，包括商州区、洛南县、柞水县三个县（区）的人工造乔木林、封山育林、退化林修复的作业设计，面积规模约24.245万亩，其中：商州区封山育林14000亩，退化林修复55000亩；洛南县人工造乔木林250亩，封山育林35000亩，退化林修复43000亩；柞水县人工造乔木林200亩，封山育林30000亩，退化林修复65000亩。 本项目需要在规定时间内分别完成： （1）2025年度商洛市秦岭中段(北麓)水源涵养与生物多样性保护恢复项目--商州区封山育林、退化林修复的作业设计； （2）2025年度商洛市秦岭中段(北麓)水源涵养与生物多样性保护恢复项目--洛南县人工造乔木林、封山育林、退化林修复的作业设计； （3）2025年度商洛市秦岭中段(北麓)水源涵养与生物多样性保护恢复项目--柞水县人工造乔木林、封山育林、退化林修复的作业设计；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3,199,800.00</w:t>
      </w:r>
    </w:p>
    <w:p>
      <w:pPr>
        <w:pStyle w:val="null3"/>
      </w:pPr>
      <w:r>
        <w:rPr>
          <w:rFonts w:ascii="仿宋_GB2312" w:hAnsi="仿宋_GB2312" w:cs="仿宋_GB2312" w:eastAsia="仿宋_GB2312"/>
        </w:rPr>
        <w:t>采购包最高限价（元）: 3,199,800.00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商州区、洛南县、柞水县三个县（区）的人工造乔木林、封山育林、退化林修复的作业设计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3,199,800.00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标的名称：商州区、洛南县、柞水县三个县（区）的人工造乔木林、封山育林、退化林修复的作业设计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1、技术要求</w:t>
            </w:r>
          </w:p>
          <w:p>
            <w:pPr>
              <w:pStyle w:val="null3"/>
              <w:ind w:firstLine="480"/>
            </w:pP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设计要求</w:t>
            </w:r>
          </w:p>
          <w:p>
            <w:pPr>
              <w:pStyle w:val="null3"/>
              <w:ind w:firstLine="480"/>
            </w:pPr>
            <w:r>
              <w:rPr>
                <w:rFonts w:ascii="仿宋_GB2312" w:hAnsi="仿宋_GB2312" w:cs="仿宋_GB2312" w:eastAsia="仿宋_GB2312"/>
                <w:sz w:val="24"/>
                <w:color w:val="000000"/>
              </w:rPr>
              <w:t>项目作业设计要严格按照《商洛市林业局商洛市发展和改革委员会关于下达生态保护修复专项</w:t>
            </w:r>
            <w:r>
              <w:rPr>
                <w:rFonts w:ascii="仿宋_GB2312" w:hAnsi="仿宋_GB2312" w:cs="仿宋_GB2312" w:eastAsia="仿宋_GB2312"/>
                <w:sz w:val="24"/>
                <w:color w:val="000000"/>
              </w:rPr>
              <w:t>2025</w:t>
            </w:r>
            <w:r>
              <w:rPr>
                <w:rFonts w:ascii="仿宋_GB2312" w:hAnsi="仿宋_GB2312" w:cs="仿宋_GB2312" w:eastAsia="仿宋_GB2312"/>
                <w:sz w:val="24"/>
                <w:color w:val="000000"/>
              </w:rPr>
              <w:t>年第一批中央预算内投资计划的通知》</w:t>
            </w:r>
            <w:r>
              <w:rPr>
                <w:rFonts w:ascii="仿宋_GB2312" w:hAnsi="仿宋_GB2312" w:cs="仿宋_GB2312" w:eastAsia="仿宋_GB2312"/>
                <w:sz w:val="24"/>
                <w:color w:val="000000"/>
              </w:rPr>
              <w:t>(</w:t>
            </w:r>
            <w:r>
              <w:rPr>
                <w:rFonts w:ascii="仿宋_GB2312" w:hAnsi="仿宋_GB2312" w:cs="仿宋_GB2312" w:eastAsia="仿宋_GB2312"/>
                <w:sz w:val="24"/>
                <w:color w:val="000000"/>
              </w:rPr>
              <w:t>商发改发〔</w:t>
            </w:r>
            <w:r>
              <w:rPr>
                <w:rFonts w:ascii="仿宋_GB2312" w:hAnsi="仿宋_GB2312" w:cs="仿宋_GB2312" w:eastAsia="仿宋_GB2312"/>
                <w:sz w:val="24"/>
                <w:color w:val="000000"/>
              </w:rPr>
              <w:t>202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220</w:t>
            </w:r>
            <w:r>
              <w:rPr>
                <w:rFonts w:ascii="仿宋_GB2312" w:hAnsi="仿宋_GB2312" w:cs="仿宋_GB2312" w:eastAsia="仿宋_GB2312"/>
                <w:sz w:val="24"/>
                <w:color w:val="000000"/>
              </w:rPr>
              <w:t>号</w:t>
            </w:r>
            <w:r>
              <w:rPr>
                <w:rFonts w:ascii="仿宋_GB2312" w:hAnsi="仿宋_GB2312" w:cs="仿宋_GB2312" w:eastAsia="仿宋_GB2312"/>
                <w:sz w:val="24"/>
                <w:color w:val="000000"/>
              </w:rPr>
              <w:t>)</w:t>
            </w:r>
            <w:r>
              <w:rPr>
                <w:rFonts w:ascii="仿宋_GB2312" w:hAnsi="仿宋_GB2312" w:cs="仿宋_GB2312" w:eastAsia="仿宋_GB2312"/>
                <w:sz w:val="24"/>
                <w:color w:val="000000"/>
              </w:rPr>
              <w:t>、《商洛市发展和改革委员会关于陕西省商洛市秦岭中段</w:t>
            </w:r>
            <w:r>
              <w:rPr>
                <w:rFonts w:ascii="仿宋_GB2312" w:hAnsi="仿宋_GB2312" w:cs="仿宋_GB2312" w:eastAsia="仿宋_GB2312"/>
                <w:sz w:val="24"/>
                <w:color w:val="000000"/>
              </w:rPr>
              <w:t>(</w:t>
            </w:r>
            <w:r>
              <w:rPr>
                <w:rFonts w:ascii="仿宋_GB2312" w:hAnsi="仿宋_GB2312" w:cs="仿宋_GB2312" w:eastAsia="仿宋_GB2312"/>
                <w:sz w:val="24"/>
                <w:color w:val="000000"/>
              </w:rPr>
              <w:t>北麓</w:t>
            </w:r>
            <w:r>
              <w:rPr>
                <w:rFonts w:ascii="仿宋_GB2312" w:hAnsi="仿宋_GB2312" w:cs="仿宋_GB2312" w:eastAsia="仿宋_GB2312"/>
                <w:sz w:val="24"/>
                <w:color w:val="000000"/>
              </w:rPr>
              <w:t>)</w:t>
            </w:r>
            <w:r>
              <w:rPr>
                <w:rFonts w:ascii="仿宋_GB2312" w:hAnsi="仿宋_GB2312" w:cs="仿宋_GB2312" w:eastAsia="仿宋_GB2312"/>
                <w:sz w:val="24"/>
                <w:color w:val="000000"/>
              </w:rPr>
              <w:t>水源涵养与生物多样性保护恢复项目可行性研究报告的批复》（商发改审批发〔</w:t>
            </w:r>
            <w:r>
              <w:rPr>
                <w:rFonts w:ascii="仿宋_GB2312" w:hAnsi="仿宋_GB2312" w:cs="仿宋_GB2312" w:eastAsia="仿宋_GB2312"/>
                <w:sz w:val="24"/>
                <w:color w:val="000000"/>
              </w:rPr>
              <w:t>2024</w:t>
            </w:r>
            <w:r>
              <w:rPr>
                <w:rFonts w:ascii="仿宋_GB2312" w:hAnsi="仿宋_GB2312" w:cs="仿宋_GB2312" w:eastAsia="仿宋_GB2312"/>
                <w:sz w:val="24"/>
                <w:color w:val="000000"/>
              </w:rPr>
              <w:t>〕</w:t>
            </w:r>
            <w:r>
              <w:rPr>
                <w:rFonts w:ascii="仿宋_GB2312" w:hAnsi="仿宋_GB2312" w:cs="仿宋_GB2312" w:eastAsia="仿宋_GB2312"/>
                <w:sz w:val="24"/>
                <w:color w:val="000000"/>
              </w:rPr>
              <w:t>55</w:t>
            </w:r>
            <w:r>
              <w:rPr>
                <w:rFonts w:ascii="仿宋_GB2312" w:hAnsi="仿宋_GB2312" w:cs="仿宋_GB2312" w:eastAsia="仿宋_GB2312"/>
                <w:sz w:val="24"/>
                <w:color w:val="000000"/>
              </w:rPr>
              <w:t>号）、</w:t>
            </w:r>
            <w:r>
              <w:rPr>
                <w:rFonts w:ascii="仿宋_GB2312" w:hAnsi="仿宋_GB2312" w:cs="仿宋_GB2312" w:eastAsia="仿宋_GB2312"/>
                <w:sz w:val="24"/>
              </w:rPr>
              <w:t>《陕西省发改和改革委员会关于在重点工程项目中大力实施以工代赈促进当地群众就业增收的实施方案》</w:t>
            </w:r>
            <w:r>
              <w:rPr>
                <w:rFonts w:ascii="仿宋_GB2312" w:hAnsi="仿宋_GB2312" w:cs="仿宋_GB2312" w:eastAsia="仿宋_GB2312"/>
                <w:sz w:val="24"/>
                <w:color w:val="000000"/>
              </w:rPr>
              <w:t>等文件精神及中央和省市林业部门有关技术规程要求进行项目调查规划设计。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00000"/>
              </w:rPr>
              <w:t>1.2设计参照依据</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1）《中华人民共和国森林法》（2019年12月）；</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2）《中华人民共和国水土保持法》（2010年12月）；</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3）《中华人民共和国环境保护法》（2015年1月）；</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4）《中华人民共和国土地管理法》（2019年8月）；</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5）《森林防火条例》（2008年12月）；</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6）《全国营造林综合核查技术规程》（LY/T 2083-2013）；</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7）《造林技术规程》（GB/T 15776-2023）；</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8）《造林作业设计规程》（</w:t>
            </w:r>
            <w:r>
              <w:rPr>
                <w:rFonts w:ascii="仿宋_GB2312" w:hAnsi="仿宋_GB2312" w:cs="仿宋_GB2312" w:eastAsia="仿宋_GB2312"/>
                <w:sz w:val="24"/>
                <w:color w:val="000000"/>
              </w:rPr>
              <w:t>2023</w:t>
            </w:r>
            <w:r>
              <w:rPr>
                <w:rFonts w:ascii="仿宋_GB2312" w:hAnsi="仿宋_GB2312" w:cs="仿宋_GB2312" w:eastAsia="仿宋_GB2312"/>
                <w:sz w:val="24"/>
                <w:color w:val="000000"/>
              </w:rPr>
              <w:t>年修订版</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9）《生态公益林建设导则》（GB/T 18337.1-2001）；</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10）《退化林修复技术规程》（GB/T 44351-2024）；</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11）《退化森林生态系统恢复与重建技术规程》（LY/T 2651-2016）；</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12）《封（沙）山育林技术规程》（GB/T 15163-2018）；</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13）《森林抚育技术规程》（GB/T 15781-2015）；</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14）《陕西省造林技术规范》（DB 61/T 142-2021）；</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15）《陕西省主要造林树种苗木质量分级》（DB61/T 378-2006）；</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16）国家林业和草原局办公室自然资源部办公厅关于印发《国土绿化项目作业设计用地会审工作规则(试行)》的通知（办生</w:t>
            </w:r>
            <w:r>
              <w:rPr>
                <w:rFonts w:ascii="仿宋_GB2312" w:hAnsi="仿宋_GB2312" w:cs="仿宋_GB2312" w:eastAsia="仿宋_GB2312"/>
                <w:sz w:val="24"/>
                <w:color w:val="000000"/>
              </w:rPr>
              <w:t>字</w:t>
            </w:r>
            <w:r>
              <w:rPr>
                <w:rFonts w:ascii="仿宋_GB2312" w:hAnsi="仿宋_GB2312" w:cs="仿宋_GB2312" w:eastAsia="仿宋_GB2312"/>
                <w:sz w:val="24"/>
                <w:color w:val="000000"/>
              </w:rPr>
              <w:t>〔</w:t>
            </w:r>
            <w:r>
              <w:rPr>
                <w:rFonts w:ascii="仿宋_GB2312" w:hAnsi="仿宋_GB2312" w:cs="仿宋_GB2312" w:eastAsia="仿宋_GB2312"/>
                <w:sz w:val="24"/>
                <w:color w:val="000000"/>
              </w:rPr>
              <w:t>2025〕74号</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17）国家林业和草原局关于印发《国土绿化项目作业设计管理规定》的通知（林生发〔2025〕5号）；</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18）国家、地方行业相关规范标准。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20"/>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质量要求</w:t>
            </w:r>
          </w:p>
          <w:p>
            <w:pPr>
              <w:pStyle w:val="null3"/>
              <w:ind w:firstLine="420"/>
            </w:pPr>
            <w:r>
              <w:rPr>
                <w:rFonts w:ascii="仿宋_GB2312" w:hAnsi="仿宋_GB2312" w:cs="仿宋_GB2312" w:eastAsia="仿宋_GB2312"/>
                <w:sz w:val="24"/>
                <w:color w:val="000000"/>
              </w:rPr>
              <w:t>达到国家现行质量验收合格标准。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0"/>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验收要求</w:t>
            </w:r>
          </w:p>
          <w:p>
            <w:pPr>
              <w:pStyle w:val="null3"/>
              <w:ind w:firstLine="480"/>
            </w:pPr>
            <w:r>
              <w:rPr>
                <w:rFonts w:ascii="仿宋_GB2312" w:hAnsi="仿宋_GB2312" w:cs="仿宋_GB2312" w:eastAsia="仿宋_GB2312"/>
                <w:sz w:val="24"/>
                <w:color w:val="000000"/>
              </w:rPr>
              <w:t>按时提交作业设计成果</w:t>
            </w:r>
            <w:r>
              <w:rPr>
                <w:rFonts w:ascii="仿宋_GB2312" w:hAnsi="仿宋_GB2312" w:cs="仿宋_GB2312" w:eastAsia="仿宋_GB2312"/>
                <w:sz w:val="24"/>
                <w:color w:val="000000"/>
              </w:rPr>
              <w:t>（含人工造林、退化林修复地块正射影像图）</w:t>
            </w:r>
            <w:r>
              <w:rPr>
                <w:rFonts w:ascii="仿宋_GB2312" w:hAnsi="仿宋_GB2312" w:cs="仿宋_GB2312" w:eastAsia="仿宋_GB2312"/>
                <w:sz w:val="24"/>
                <w:color w:val="000000"/>
              </w:rPr>
              <w:t>，并通过采购人</w:t>
            </w:r>
            <w:r>
              <w:rPr>
                <w:rFonts w:ascii="仿宋_GB2312" w:hAnsi="仿宋_GB2312" w:cs="仿宋_GB2312" w:eastAsia="仿宋_GB2312"/>
                <w:sz w:val="24"/>
                <w:color w:val="000000"/>
              </w:rPr>
              <w:t>及各县林业局</w:t>
            </w:r>
            <w:r>
              <w:rPr>
                <w:rFonts w:ascii="仿宋_GB2312" w:hAnsi="仿宋_GB2312" w:cs="仿宋_GB2312" w:eastAsia="仿宋_GB2312"/>
                <w:sz w:val="24"/>
                <w:color w:val="000000"/>
              </w:rPr>
              <w:t>组织的专家技术审查，并根据专家技术审查意见进行修订，提交作业设计终稿，并提供审查合格成果报告和相应配套图件。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0"/>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成果要求</w:t>
            </w:r>
          </w:p>
          <w:p>
            <w:pPr>
              <w:pStyle w:val="null3"/>
              <w:ind w:firstLine="480"/>
            </w:pPr>
            <w:r>
              <w:rPr>
                <w:rFonts w:ascii="仿宋_GB2312" w:hAnsi="仿宋_GB2312" w:cs="仿宋_GB2312" w:eastAsia="仿宋_GB2312"/>
                <w:sz w:val="24"/>
                <w:color w:val="000000"/>
              </w:rPr>
              <w:t>工作成果要符合国家及行业有关规范及标准编写，</w:t>
            </w:r>
            <w:r>
              <w:rPr>
                <w:rFonts w:ascii="仿宋_GB2312" w:hAnsi="仿宋_GB2312" w:cs="仿宋_GB2312" w:eastAsia="仿宋_GB2312"/>
                <w:sz w:val="24"/>
                <w:color w:val="000000"/>
              </w:rPr>
              <w:t>成果报告纸质版</w:t>
            </w:r>
            <w:r>
              <w:rPr>
                <w:rFonts w:ascii="仿宋_GB2312" w:hAnsi="仿宋_GB2312" w:cs="仿宋_GB2312" w:eastAsia="仿宋_GB2312"/>
                <w:sz w:val="24"/>
                <w:color w:val="000000"/>
              </w:rPr>
              <w:t xml:space="preserve">10 </w:t>
            </w:r>
            <w:r>
              <w:rPr>
                <w:rFonts w:ascii="仿宋_GB2312" w:hAnsi="仿宋_GB2312" w:cs="仿宋_GB2312" w:eastAsia="仿宋_GB2312"/>
                <w:sz w:val="24"/>
                <w:color w:val="000000"/>
              </w:rPr>
              <w:t xml:space="preserve">份，相应配套图件纸质版 </w:t>
            </w:r>
            <w:r>
              <w:rPr>
                <w:rFonts w:ascii="仿宋_GB2312" w:hAnsi="仿宋_GB2312" w:cs="仿宋_GB2312" w:eastAsia="仿宋_GB2312"/>
                <w:sz w:val="24"/>
                <w:color w:val="000000"/>
              </w:rPr>
              <w:t xml:space="preserve">10 </w:t>
            </w:r>
            <w:r>
              <w:rPr>
                <w:rFonts w:ascii="仿宋_GB2312" w:hAnsi="仿宋_GB2312" w:cs="仿宋_GB2312" w:eastAsia="仿宋_GB2312"/>
                <w:sz w:val="24"/>
                <w:color w:val="000000"/>
              </w:rPr>
              <w:t>份及矢量图和设计电子版，以及采购人</w:t>
            </w:r>
            <w:r>
              <w:rPr>
                <w:rFonts w:ascii="仿宋_GB2312" w:hAnsi="仿宋_GB2312" w:cs="仿宋_GB2312" w:eastAsia="仿宋_GB2312"/>
                <w:sz w:val="24"/>
                <w:color w:val="000000"/>
              </w:rPr>
              <w:t>及各县林业局</w:t>
            </w:r>
            <w:r>
              <w:rPr>
                <w:rFonts w:ascii="仿宋_GB2312" w:hAnsi="仿宋_GB2312" w:cs="仿宋_GB2312" w:eastAsia="仿宋_GB2312"/>
                <w:sz w:val="24"/>
                <w:color w:val="000000"/>
              </w:rPr>
              <w:t>认为需要提供的项目资料。</w:t>
            </w:r>
          </w:p>
          <w:p>
            <w:pPr>
              <w:pStyle w:val="null3"/>
              <w:ind w:firstLine="480"/>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0"/>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服务期限</w:t>
            </w:r>
          </w:p>
          <w:p>
            <w:pPr>
              <w:pStyle w:val="null3"/>
              <w:ind w:firstLine="480"/>
            </w:pPr>
            <w:r>
              <w:rPr>
                <w:rFonts w:ascii="仿宋_GB2312" w:hAnsi="仿宋_GB2312" w:cs="仿宋_GB2312" w:eastAsia="仿宋_GB2312"/>
                <w:sz w:val="24"/>
                <w:color w:val="000000"/>
              </w:rPr>
              <w:t>合同签订之日起</w:t>
            </w:r>
            <w:r>
              <w:rPr>
                <w:rFonts w:ascii="仿宋_GB2312" w:hAnsi="仿宋_GB2312" w:cs="仿宋_GB2312" w:eastAsia="仿宋_GB2312"/>
                <w:sz w:val="24"/>
                <w:color w:val="000000"/>
              </w:rPr>
              <w:t>45</w:t>
            </w:r>
            <w:r>
              <w:rPr>
                <w:rFonts w:ascii="仿宋_GB2312" w:hAnsi="仿宋_GB2312" w:cs="仿宋_GB2312" w:eastAsia="仿宋_GB2312"/>
                <w:sz w:val="24"/>
                <w:color w:val="000000"/>
              </w:rPr>
              <w:t>个日历日提交成果。</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80"/>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付款方式</w:t>
            </w:r>
          </w:p>
          <w:p>
            <w:pPr>
              <w:pStyle w:val="null3"/>
              <w:ind w:firstLine="480"/>
            </w:pPr>
            <w:r>
              <w:rPr>
                <w:rFonts w:ascii="仿宋_GB2312" w:hAnsi="仿宋_GB2312" w:cs="仿宋_GB2312" w:eastAsia="仿宋_GB2312"/>
                <w:sz w:val="24"/>
                <w:color w:val="000000"/>
              </w:rPr>
              <w:t>项目实施完成并交付合格成果文件后，由供应商提供票据并申请，</w:t>
            </w:r>
            <w:r>
              <w:rPr>
                <w:rFonts w:ascii="仿宋_GB2312" w:hAnsi="仿宋_GB2312" w:cs="仿宋_GB2312" w:eastAsia="仿宋_GB2312"/>
                <w:sz w:val="24"/>
                <w:color w:val="000000"/>
              </w:rPr>
              <w:t>由各县林业局结算设计费用</w:t>
            </w:r>
            <w:r>
              <w:rPr>
                <w:rFonts w:ascii="仿宋_GB2312" w:hAnsi="仿宋_GB2312" w:cs="仿宋_GB2312" w:eastAsia="仿宋_GB2312"/>
                <w:sz w:val="24"/>
                <w:color w:val="000000"/>
              </w:rPr>
              <w:t>（具体以签订合同为准）。</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b/>
                <w:color w:val="000000"/>
              </w:rPr>
              <w:t>2、其他要求</w:t>
            </w:r>
          </w:p>
          <w:p>
            <w:pPr>
              <w:pStyle w:val="null3"/>
              <w:ind w:firstLine="480"/>
            </w:pPr>
            <w:r>
              <w:rPr>
                <w:rFonts w:ascii="仿宋_GB2312" w:hAnsi="仿宋_GB2312" w:cs="仿宋_GB2312" w:eastAsia="仿宋_GB2312"/>
                <w:sz w:val="24"/>
                <w:color w:val="000000"/>
              </w:rPr>
              <w:t>2.1设计单位应按照总体服务方案确保工作进度及工作质量，足量配备符合要求的专业技术力量或团队投入本项目，确保提交设计成果准时、准确，符合国家或行业相关规定及要求。</w:t>
            </w:r>
          </w:p>
          <w:p>
            <w:pPr>
              <w:pStyle w:val="null3"/>
              <w:ind w:firstLine="480"/>
            </w:pPr>
            <w:r>
              <w:rPr>
                <w:rFonts w:ascii="仿宋_GB2312" w:hAnsi="仿宋_GB2312" w:cs="仿宋_GB2312" w:eastAsia="仿宋_GB2312"/>
                <w:sz w:val="24"/>
                <w:color w:val="000000"/>
              </w:rPr>
              <w:t>2.2要求具有完善的技术支持服务措施，高水平的专业编制人员以及高效的工作作风，并承诺能紧密配合采购人的工作需求。</w:t>
            </w:r>
          </w:p>
          <w:p>
            <w:pPr>
              <w:pStyle w:val="null3"/>
              <w:ind w:firstLine="480"/>
            </w:pPr>
            <w:r>
              <w:rPr>
                <w:rFonts w:ascii="仿宋_GB2312" w:hAnsi="仿宋_GB2312" w:cs="仿宋_GB2312" w:eastAsia="仿宋_GB2312"/>
                <w:sz w:val="24"/>
                <w:color w:val="000000"/>
              </w:rPr>
              <w:t>2.3</w:t>
            </w:r>
            <w:r>
              <w:rPr>
                <w:rFonts w:ascii="仿宋_GB2312" w:hAnsi="仿宋_GB2312" w:cs="仿宋_GB2312" w:eastAsia="仿宋_GB2312"/>
                <w:sz w:val="24"/>
                <w:color w:val="000000"/>
              </w:rPr>
              <w:t>本项目的全部原始资料、中间过渡及最终成果所有权属于采购人</w:t>
            </w:r>
            <w:r>
              <w:rPr>
                <w:rFonts w:ascii="仿宋_GB2312" w:hAnsi="仿宋_GB2312" w:cs="仿宋_GB2312" w:eastAsia="仿宋_GB2312"/>
                <w:sz w:val="24"/>
                <w:color w:val="000000"/>
              </w:rPr>
              <w:t>及各县林业局</w:t>
            </w:r>
            <w:r>
              <w:rPr>
                <w:rFonts w:ascii="仿宋_GB2312" w:hAnsi="仿宋_GB2312" w:cs="仿宋_GB2312" w:eastAsia="仿宋_GB2312"/>
                <w:sz w:val="24"/>
                <w:color w:val="000000"/>
              </w:rPr>
              <w:t>。未经采购人</w:t>
            </w:r>
            <w:r>
              <w:rPr>
                <w:rFonts w:ascii="仿宋_GB2312" w:hAnsi="仿宋_GB2312" w:cs="仿宋_GB2312" w:eastAsia="仿宋_GB2312"/>
                <w:sz w:val="24"/>
                <w:color w:val="000000"/>
              </w:rPr>
              <w:t>及各县林业局</w:t>
            </w:r>
            <w:r>
              <w:rPr>
                <w:rFonts w:ascii="仿宋_GB2312" w:hAnsi="仿宋_GB2312" w:cs="仿宋_GB2312" w:eastAsia="仿宋_GB2312"/>
                <w:sz w:val="24"/>
                <w:color w:val="000000"/>
              </w:rPr>
              <w:t>书面许可，成交单位不得擅自将原始资料、中间过渡或最终成果复制自留或提供给其他任何单位和个人，为自己或其他任何单位和个人谋取利益。</w:t>
            </w:r>
          </w:p>
          <w:p>
            <w:pPr>
              <w:pStyle w:val="null3"/>
              <w:ind w:firstLine="480"/>
            </w:pPr>
            <w:r>
              <w:rPr>
                <w:rFonts w:ascii="仿宋_GB2312" w:hAnsi="仿宋_GB2312" w:cs="仿宋_GB2312" w:eastAsia="仿宋_GB2312"/>
                <w:sz w:val="24"/>
                <w:color w:val="000000"/>
              </w:rPr>
              <w:t>2.4</w:t>
            </w:r>
            <w:r>
              <w:rPr>
                <w:rFonts w:ascii="仿宋_GB2312" w:hAnsi="仿宋_GB2312" w:cs="仿宋_GB2312" w:eastAsia="仿宋_GB2312"/>
                <w:sz w:val="24"/>
                <w:color w:val="000000"/>
              </w:rPr>
              <w:t>中标单位在本项目实施过程中，涉及属于涉密资料的，由中标单位按照国家涉密要求执行，实施前应签定数据成果使用保密协议书，保密协议书作为合同文件的组成部分。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b/>
                <w:color w:val="000000"/>
              </w:rPr>
              <w:t>3、合同实施</w:t>
            </w:r>
          </w:p>
          <w:p>
            <w:pPr>
              <w:pStyle w:val="null3"/>
              <w:ind w:firstLine="480"/>
            </w:pPr>
            <w:r>
              <w:rPr>
                <w:rFonts w:ascii="仿宋_GB2312" w:hAnsi="仿宋_GB2312" w:cs="仿宋_GB2312" w:eastAsia="仿宋_GB2312"/>
                <w:sz w:val="24"/>
                <w:color w:val="000000"/>
              </w:rPr>
              <w:t>3.1供应商应在合同签订后</w:t>
            </w:r>
            <w:r>
              <w:rPr>
                <w:rFonts w:ascii="仿宋_GB2312" w:hAnsi="仿宋_GB2312" w:cs="仿宋_GB2312" w:eastAsia="仿宋_GB2312"/>
                <w:sz w:val="24"/>
                <w:color w:val="000000"/>
              </w:rPr>
              <w:t>7</w:t>
            </w:r>
            <w:r>
              <w:rPr>
                <w:rFonts w:ascii="仿宋_GB2312" w:hAnsi="仿宋_GB2312" w:cs="仿宋_GB2312" w:eastAsia="仿宋_GB2312"/>
                <w:sz w:val="24"/>
                <w:color w:val="000000"/>
              </w:rPr>
              <w:t>个日历日内安排人员与使用单位就此项目等一系列工作进行安排、部署。</w:t>
            </w:r>
          </w:p>
          <w:p>
            <w:pPr>
              <w:pStyle w:val="null3"/>
              <w:ind w:firstLine="480"/>
            </w:pPr>
            <w:r>
              <w:rPr>
                <w:rFonts w:ascii="仿宋_GB2312" w:hAnsi="仿宋_GB2312" w:cs="仿宋_GB2312" w:eastAsia="仿宋_GB2312"/>
                <w:sz w:val="24"/>
                <w:color w:val="000000"/>
              </w:rPr>
              <w:t>3.2</w:t>
            </w:r>
            <w:r>
              <w:rPr>
                <w:rFonts w:ascii="仿宋_GB2312" w:hAnsi="仿宋_GB2312" w:cs="仿宋_GB2312" w:eastAsia="仿宋_GB2312"/>
                <w:sz w:val="24"/>
              </w:rPr>
              <w:t xml:space="preserve"> </w:t>
            </w:r>
            <w:r>
              <w:rPr>
                <w:rFonts w:ascii="仿宋_GB2312" w:hAnsi="仿宋_GB2312" w:cs="仿宋_GB2312" w:eastAsia="仿宋_GB2312"/>
                <w:sz w:val="24"/>
                <w:color w:val="000000"/>
              </w:rPr>
              <w:t>若未能完成合同规定的义务，由此对采购人造成的延误和一切损失，将由中标服务商的履约保证金弥补采购人的损失。履约保证金不足以弥补采购人损失的，由中标服务商额外赔偿。</w:t>
            </w:r>
          </w:p>
          <w:p>
            <w:pPr>
              <w:pStyle w:val="null3"/>
              <w:ind w:firstLine="480"/>
            </w:pPr>
            <w:r>
              <w:rPr>
                <w:rFonts w:ascii="仿宋_GB2312" w:hAnsi="仿宋_GB2312" w:cs="仿宋_GB2312" w:eastAsia="仿宋_GB2312"/>
                <w:sz w:val="24"/>
                <w:color w:val="000000"/>
              </w:rPr>
              <w:t>3.3违约责任：</w:t>
            </w:r>
          </w:p>
          <w:p>
            <w:pPr>
              <w:pStyle w:val="null3"/>
              <w:ind w:firstLine="480"/>
            </w:pPr>
            <w:r>
              <w:rPr>
                <w:rFonts w:ascii="仿宋_GB2312" w:hAnsi="仿宋_GB2312" w:cs="仿宋_GB2312" w:eastAsia="仿宋_GB2312"/>
                <w:sz w:val="24"/>
                <w:color w:val="000000"/>
              </w:rPr>
              <w:t>3.3</w:t>
            </w:r>
            <w:r>
              <w:rPr>
                <w:rFonts w:ascii="仿宋_GB2312" w:hAnsi="仿宋_GB2312" w:cs="仿宋_GB2312" w:eastAsia="仿宋_GB2312"/>
                <w:sz w:val="24"/>
                <w:color w:val="000000"/>
              </w:rPr>
              <w:t>.1</w:t>
            </w:r>
            <w:r>
              <w:rPr>
                <w:rFonts w:ascii="仿宋_GB2312" w:hAnsi="仿宋_GB2312" w:cs="仿宋_GB2312" w:eastAsia="仿宋_GB2312"/>
                <w:sz w:val="24"/>
                <w:color w:val="000000"/>
              </w:rPr>
              <w:t>按《中华人民共和国合同法》中的相关条款执行。</w:t>
            </w:r>
          </w:p>
          <w:p>
            <w:pPr>
              <w:pStyle w:val="null3"/>
              <w:ind w:firstLine="480"/>
            </w:pPr>
            <w:r>
              <w:rPr>
                <w:rFonts w:ascii="仿宋_GB2312" w:hAnsi="仿宋_GB2312" w:cs="仿宋_GB2312" w:eastAsia="仿宋_GB2312"/>
                <w:sz w:val="24"/>
                <w:color w:val="000000"/>
              </w:rPr>
              <w:t>3.3</w:t>
            </w:r>
            <w:r>
              <w:rPr>
                <w:rFonts w:ascii="仿宋_GB2312" w:hAnsi="仿宋_GB2312" w:cs="仿宋_GB2312" w:eastAsia="仿宋_GB2312"/>
                <w:sz w:val="24"/>
                <w:color w:val="000000"/>
              </w:rPr>
              <w:t>.2</w:t>
            </w:r>
            <w:r>
              <w:rPr>
                <w:rFonts w:ascii="仿宋_GB2312" w:hAnsi="仿宋_GB2312" w:cs="仿宋_GB2312" w:eastAsia="仿宋_GB2312"/>
                <w:sz w:val="24"/>
                <w:color w:val="000000"/>
              </w:rPr>
              <w:t>未按合同要求提供产品质量不能满足技术要求，采购人有权终止合同，并对供方违约行为进行追究，同时按《政府采购法》的有关规定进行处罚。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1、设计单位应按照总体服务方案确保工作进度及工作质量，足量配备符合要求的专业技术力量或团队投入本项目，确保提交设计成果准时、准确，符合国家或行业相关规定及要求。 2、要求具有完善的技术支持服务措施，高水平的专业编制人员以及高效的工作作风，并承诺能紧密配合采购人的工作需求。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合同签订之日起45个日历日提交成果。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 按时提交作业设计成果（含人工造林、退化林修复地块正射影像图），并通过采购人及各县林业局组织的专家技术审查，并根据专家技术审查意见进行修订，提交作业设计终稿，并提供审查合格成果报告和相应配套图件。 2.成果要求 工作成果要符合国家及行业有关规范及标准编写，成果报告纸质版 10 份，相应配套图件纸质版 10 份及矢量图和设计电子版，以及采购人及各县林业局认为需要提供的项目资料。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第一次支付：合同签订后5个工作日内，各项目县支付服务报酬</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第二次支付：提交项目成果并通过专家评审后10个工作日内，由各项目县支付服务报酬</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中华人民共和国政府采购法》及相关法律法规对服务商的违法行为进行相应的处罚。 3.本合同在履行过程中发生的争议，由采购人、各项目县、中标供应商三方当事人协商解决，协商不成的依法向采购人所在地人民法院起诉。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1.服务支持： 供应商在项目实施过程中，质量保障人员、资源不足或者执行不力，给项目质量带来的风险超出采购人认定的允许范围时，采购人可终止本项目的合作并进行索赔。 2.知识产权、专利权： 供应商应对所提供的文稿及图像、影像材料，已取得合法知识产权或其使用权，供应商应保证所提供的服务不会出现因第三方提出侵犯其版权、商标权或其他知识产权而引发法律或经济纠纷，否则由供应商负责解决并承担全部责任；如因此影响到采购人的正常使用，采购人有权单方解除本合同，供应商应无条件向采购人退回已收取的全部合同价款。 3.付款： （1）合同总价即成交价，不受市场价变化或实际工作量变化的影响。供应商应在投标报价表中标明完成本次招标所要求的全部服务的所有费用。 （2）付款方式和程序： 2.1招标完成后，签订三方协议（采购人、各项目县林业局、中标单位），由各项目县支付作业设计编制费用，具体支付金额根据项目建设内容及任务量按比例确定。 2.2付款方式： 项目实施完成并交付合格成果文件后，由供应商提供票据并申请，经采购人及各县林业局签字同意后支付（具体以签订合同为准）。 2.3支付方式：银行转账。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供应商需在项目电子化交易系统中按要求填写《投标函》完成承诺并进行电子签章。按照要求 在资格证明材料中提供：(1）提供合格有效的法人或者其他组织的营业执照或事业单位登记证书等证明文件；(2）财务状况：提供2024年度经审计的财务审计报告（成立时间至提交投标文件截止时间不足一年的可提供成立后任意时段的资产负债表）或开标时间前六个月内银行出具的资信证明；(3）税收缴纳证明：提供投标截止之日前六个月内任意一个月的纳税证明或完税证明（任意税种），依法免税的单位应提供相关证明材料； (4）社会保障资金缴纳证明：提供投标截止之日前六个月内已缴存的至少一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审计报告（成立时间至提交投标文件截止时间不足一年的可提供成立后任意时段的资产负债表）或开标时间前六个月内基本存款账户开户银行出具的资信证明及基本存款账户开户许可证或开户银行打印的含有企业基本存款账户编号的《基本存款账户信息》，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授权合法人员</w:t>
            </w:r>
          </w:p>
        </w:tc>
        <w:tc>
          <w:tcPr>
            <w:tcW w:type="dxa" w:w="3322"/>
          </w:tcPr>
          <w:p>
            <w:pPr>
              <w:pStyle w:val="null3"/>
            </w:pPr>
            <w:r>
              <w:rPr>
                <w:rFonts w:ascii="仿宋_GB2312" w:hAnsi="仿宋_GB2312" w:cs="仿宋_GB2312" w:eastAsia="仿宋_GB2312"/>
              </w:rPr>
              <w:t>供应商应授权合法的人员通过电子化交易系统以在线方式进行投标，其中法定代表人直接参加投标时电子投标文件须附法定代表人身份证明；法定代表人授权委托代理人参加投标时电子响应文件须附法定代表人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供应商应具备林业调查规划设计乙级及以上资质；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本项目（合同包）不接受联合体投标。提交非联合体形式参加本项目投标的声明函。供应商需在项目电子化交易系统中按要求上传相应证明文件并进行电子签章。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与营业执照或事业单位登记证书等相关证明文件一致。</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供应商投标有效期自提交投标文件截止之日起不少于90天。供应商需在项目电子化交易系统中按要求填写《投标函》完成承诺并进行电子签章。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投标文件内容应全面响应招标文件要求，且无未实质性响应及无效标的情形。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合同签订之日起45个日历日提交成果，供应商需在项目电子化交易系统中按要求填写《报价表》、《标的清单》并进行电子签章。</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供应商需在项目电子化交易系统中按要求编制投标文件并进行电子签章。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总体服务方案概述</w:t>
            </w:r>
          </w:p>
        </w:tc>
        <w:tc>
          <w:tcPr>
            <w:tcW w:type="dxa" w:w="2492"/>
          </w:tcPr>
          <w:p>
            <w:pPr>
              <w:pStyle w:val="null3"/>
            </w:pPr>
            <w:r>
              <w:rPr>
                <w:rFonts w:ascii="仿宋_GB2312" w:hAnsi="仿宋_GB2312" w:cs="仿宋_GB2312" w:eastAsia="仿宋_GB2312"/>
              </w:rPr>
              <w:t>供应商对本项目设计阶段等相关服务工作内容熟悉，能够清楚了解政策要求和技术要求，根据项目具体实际情况制定详细、针对性强的服务方案。 （1）总体方案科学合理、完整，可行性高，计（6-10]分 （2）总体方案完整性、合理性一般，计（3-6]分 （3）总体方案不完整、缺乏合理性，计（0-3]分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对关键技术问题及难点问题的认识准确，分析清晰,并提出了详细、可行的解决方案，计（0-5）分。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方案编制</w:t>
            </w:r>
          </w:p>
        </w:tc>
        <w:tc>
          <w:tcPr>
            <w:tcW w:type="dxa" w:w="2492"/>
          </w:tcPr>
          <w:p>
            <w:pPr>
              <w:pStyle w:val="null3"/>
            </w:pPr>
            <w:r>
              <w:rPr>
                <w:rFonts w:ascii="仿宋_GB2312" w:hAnsi="仿宋_GB2312" w:cs="仿宋_GB2312" w:eastAsia="仿宋_GB2312"/>
              </w:rPr>
              <w:t>针对本项目的设计结合国家政策、行业法规、技术标准编制实施方案； （1）设计实施方案编制清晰且完善计（12-18]分； （2）设计实施方案编制完整性、合理性一般计（6-12]分； （3）设计实施方案编制不完整、缺乏合理性，计（0-6]分；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根据供应商提供的项目实施质量控制措施、针对质量问题的解决措施内容综合评审赋分0-6分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项目实施工作进度安排具体、合理、进度计划满足服务期限,制定详细的项目进度保障措施，科学、完善、合理得（3-6]分；措施一般得（1-3]分；措施较差得（0-1]分。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组织、配合及协调措施</w:t>
            </w:r>
          </w:p>
        </w:tc>
        <w:tc>
          <w:tcPr>
            <w:tcW w:type="dxa" w:w="2492"/>
          </w:tcPr>
          <w:p>
            <w:pPr>
              <w:pStyle w:val="null3"/>
            </w:pPr>
            <w:r>
              <w:rPr>
                <w:rFonts w:ascii="仿宋_GB2312" w:hAnsi="仿宋_GB2312" w:cs="仿宋_GB2312" w:eastAsia="仿宋_GB2312"/>
              </w:rPr>
              <w:t>组织、配合及协调措施流畅、科学、完善、合理得（3-5]分；措施一般得（1-3]分；措施较差得（0-1]分。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完全按照招标文件采购要求和合同条款的要求，对交付时间内质量、人员到位情况、后期服务的响应时间及配合程度等做出实质性承诺（内容应当包含不能完全履行承诺时愿意接受相关处罚的相关承诺）。服务等内容承诺详细全面得（3-5]分，服务承诺粗略，较全面得(1-3]分，服务承诺缺失或不合理操作性差得(0-1]；</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根据本次技术要求提供合理化建议，对本项目有针对性，评标委员会及招标人认可的、可实际应用的，计0-5分；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投标供应商提供2022年01月至今完成的类似作业设计业绩，每提供一份计2分，最高计10分。 注：须提供已完成项目中标（成交）通知书或合同复印件，并加盖公章。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项目负责人资历</w:t>
            </w:r>
          </w:p>
        </w:tc>
        <w:tc>
          <w:tcPr>
            <w:tcW w:type="dxa" w:w="2492"/>
          </w:tcPr>
          <w:p>
            <w:pPr>
              <w:pStyle w:val="null3"/>
            </w:pPr>
            <w:r>
              <w:rPr>
                <w:rFonts w:ascii="仿宋_GB2312" w:hAnsi="仿宋_GB2312" w:cs="仿宋_GB2312" w:eastAsia="仿宋_GB2312"/>
              </w:rPr>
              <w:t>项目负责人具有林业相关专业正高级职称得8分，林业相关专业高级职称得5分；具有注册咨询工程师（投资）证书的得2分；最多得10分，没有不得分。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1、项目团队配置合理，职责划分明确，并有明确的人员分工，机构设置和人员岗位职责划分合理得（3-4]分；分工、职责划分一般得（1-3]分；分工、职责划分不明确得（0-1]分。 2、除项目负责人以外，拟派参与本项目的人员中，具有林业相关专业正高级职称的每个得 2 分，高级职称的每个得1分，中级职称的每个得 0.5 分。本项最多得6分。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详见附件：作业设计服务合同.docx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