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版本号：SLSJ[2025]02520250825001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商洛市12345便民热线综合服务平台维保服务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SLSJ[2025]025</w:t>
      </w:r>
      <w:r>
        <w:br/>
      </w:r>
      <w:r>
        <w:br/>
      </w:r>
      <w:r>
        <w:br/>
      </w:r>
    </w:p>
    <w:p>
      <w:pPr>
        <w:pStyle w:val="null3"/>
        <w:jc w:val="center"/>
        <w:outlineLvl w:val="5"/>
      </w:pPr>
      <w:r>
        <w:rPr>
          <w:rFonts w:ascii="仿宋_GB2312" w:hAnsi="仿宋_GB2312" w:cs="仿宋_GB2312" w:eastAsia="仿宋_GB2312"/>
          <w:sz w:val="15"/>
          <w:b/>
        </w:rPr>
        <w:t>商洛市政务服务中心</w:t>
      </w:r>
    </w:p>
    <w:p>
      <w:pPr>
        <w:pStyle w:val="null3"/>
        <w:jc w:val="center"/>
        <w:outlineLvl w:val="5"/>
      </w:pPr>
      <w:r>
        <w:rPr>
          <w:rFonts w:ascii="仿宋_GB2312" w:hAnsi="仿宋_GB2312" w:cs="仿宋_GB2312" w:eastAsia="仿宋_GB2312"/>
          <w:sz w:val="15"/>
          <w:b/>
        </w:rPr>
        <w:t>商洛市建筑勘察设计院</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商洛市建筑勘察设计院</w:t>
      </w:r>
      <w:r>
        <w:rPr>
          <w:rFonts w:ascii="仿宋_GB2312" w:hAnsi="仿宋_GB2312" w:cs="仿宋_GB2312" w:eastAsia="仿宋_GB2312"/>
        </w:rPr>
        <w:t>（以下简称“代理机构”）受</w:t>
      </w:r>
      <w:r>
        <w:rPr>
          <w:rFonts w:ascii="仿宋_GB2312" w:hAnsi="仿宋_GB2312" w:cs="仿宋_GB2312" w:eastAsia="仿宋_GB2312"/>
        </w:rPr>
        <w:t>商洛市政务服务中心</w:t>
      </w:r>
      <w:r>
        <w:rPr>
          <w:rFonts w:ascii="仿宋_GB2312" w:hAnsi="仿宋_GB2312" w:cs="仿宋_GB2312" w:eastAsia="仿宋_GB2312"/>
        </w:rPr>
        <w:t>委托，拟对</w:t>
      </w:r>
      <w:r>
        <w:rPr>
          <w:rFonts w:ascii="仿宋_GB2312" w:hAnsi="仿宋_GB2312" w:cs="仿宋_GB2312" w:eastAsia="仿宋_GB2312"/>
        </w:rPr>
        <w:t>商洛市12345便民热线综合服务平台维保服务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SLSJ[2025]025</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商洛市12345便民热线综合服务平台维保服务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进一步深化“放管服”改革，畅通、规范群众诉求渠道，持续提升政务服务水平和行政效能。市委、市政府决定整合各部门热线，印发了《商洛市12345便民热线综合服务平台建设和运行工作实施方案》(商办字(2017)140号),主要受理、处置非警务非紧急咨询、求助、投诉、建议类电话，为群众提供24小时全天候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不得为“信用中国”网站（www.creditchina.gov.cn）中列入重大税收违法失信主体的当事人，不得为“中国执行信息公开网”（http://zxgk.court.gov.cn）网站被列为失信被执行人，不得为“中国政府采购网”（www.ccgp.gov.cn）政府采购严重违法失信行为记录名单中被财政部门禁止参加政府采购活动的供应商；：附网站查询截图并进行电子签章。</w:t>
      </w:r>
    </w:p>
    <w:p>
      <w:pPr>
        <w:pStyle w:val="null3"/>
      </w:pPr>
      <w:r>
        <w:rPr>
          <w:rFonts w:ascii="仿宋_GB2312" w:hAnsi="仿宋_GB2312" w:cs="仿宋_GB2312" w:eastAsia="仿宋_GB2312"/>
        </w:rPr>
        <w:t>2、法定代表人（负责人）参加采购响应的，须提供法定代表人（负责人）身份证明书；授权代表参加采购响应的，须提供法人授权委托书；：附相关资料并进行电子签章。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商洛市政务服务中心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商洛市商州区民和路中段商洛市政务服务中心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商洛市政务服务中心经办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0914-2310201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商洛市建筑勘察设计院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陕西省商洛市商州区民和路商洛设计大厦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18991448668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开户名称：商洛市建筑勘察设计院</w:t>
            </w:r>
          </w:p>
          <w:p>
            <w:pPr>
              <w:pStyle w:val="null3"/>
            </w:pPr>
            <w:r>
              <w:rPr>
                <w:rFonts w:ascii="仿宋_GB2312" w:hAnsi="仿宋_GB2312" w:cs="仿宋_GB2312" w:eastAsia="仿宋_GB2312"/>
              </w:rPr>
              <w:t>开户银行：中国邮政储蓄银行股份有限公司商洛市分行</w:t>
            </w:r>
          </w:p>
          <w:p>
            <w:pPr>
              <w:pStyle w:val="null3"/>
            </w:pPr>
            <w:r>
              <w:rPr>
                <w:rFonts w:ascii="仿宋_GB2312" w:hAnsi="仿宋_GB2312" w:cs="仿宋_GB2312" w:eastAsia="仿宋_GB2312"/>
              </w:rPr>
              <w:t>银行账号：961003010032488903</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招标代理服务收费管理暂行办法》的通知(计价格【2002】1980号)和《国家发展改革委关于降低部分建设项目收费标准规范收费行为等有关问题的通知》(发改价格【2011】534号)文件规定执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商洛市政务服务中心</w:t>
      </w:r>
      <w:r>
        <w:rPr>
          <w:rFonts w:ascii="仿宋_GB2312" w:hAnsi="仿宋_GB2312" w:cs="仿宋_GB2312" w:eastAsia="仿宋_GB2312"/>
        </w:rPr>
        <w:t>和</w:t>
      </w:r>
      <w:r>
        <w:rPr>
          <w:rFonts w:ascii="仿宋_GB2312" w:hAnsi="仿宋_GB2312" w:cs="仿宋_GB2312" w:eastAsia="仿宋_GB2312"/>
        </w:rPr>
        <w:t>商洛市建筑勘察设计院</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商洛市建筑勘察设计院</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商洛市政务服务中心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商洛市建筑勘察设计院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甲乙双方严格按照《财政部关于进一步加强政府采购需求和履约验收管理的指导意见》（财库〔2016〕205号）文件的要求进行验收。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商洛市建筑勘察设计院</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商洛市建筑勘察设计院</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进一步深化“放管服”改革，畅通、规范群众诉求渠道，持续提升政务服务水平和行政效能。市委、市政府决定整合各部门热线，印发了《商洛市12345便民热线综合服务平台建设和运行工作实施方案》(商办字(2017)140号),主要受理、处置非警务非紧急咨询、求助、投诉、建议类电话，为群众提供24小时全天候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平台维保：</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1）主要维保软件模块如下：软件模块如CTI Server 、IVR语音导航、ACD智能排队、Record录音管理系统、坐席操作系统、工单管理子系统、知识库子系统、效能监管子系统、统计分析与大数据应用系统、运营监管子系统、大屏展示系统、全媒体服务系统、12345官网、数据及端口对接、移动办公APP；</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软件运维主要内容包括：对操作系统调试及升级；外设设备的相关驱动程序及软件的安装调试；软件升级并排除软件使用过程中的故障；解决软件冲突造成的系统故障；检查数据库运行情况，及时处理数据库故障；定期对数据库进行优化，提高数据库运行效率；检查应用软件中间件运行情况，及时优化并处理中间件故障；在客户的授权下及时进行数据维护处理；对应用软件进行完善性修改，处理应用软件存在的问题；及时处理涉及数据库和应用软件相关工作，确保以上问题及故障得到有效解决；</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3）为系统平台提供技术支撑，确保稳定运行；</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4）乙方负责12345呼叫中心软件平台维保；</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5）乙方负责12345呼叫中心网络安全防护。</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rPr>
              <w:t>通讯业务</w:t>
            </w:r>
            <w:r>
              <w:rPr>
                <w:rFonts w:ascii="仿宋_GB2312" w:hAnsi="仿宋_GB2312" w:cs="仿宋_GB2312" w:eastAsia="仿宋_GB2312"/>
                <w:sz w:val="24"/>
              </w:rPr>
              <w:t>服务：</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1）语音中继专线：包含一年语音通话</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2）互联网专线：将1条500M互联网线路免费提升至1000M</w:t>
            </w:r>
            <w:r>
              <w:rPr>
                <w:rFonts w:ascii="仿宋_GB2312" w:hAnsi="仿宋_GB2312" w:cs="仿宋_GB2312" w:eastAsia="仿宋_GB2312"/>
                <w:sz w:val="24"/>
              </w:rPr>
              <w:t>；</w:t>
            </w:r>
          </w:p>
          <w:p>
            <w:pPr>
              <w:pStyle w:val="null3"/>
              <w:ind w:firstLine="240"/>
              <w:jc w:val="both"/>
            </w:pPr>
            <w:r>
              <w:rPr>
                <w:rFonts w:ascii="仿宋_GB2312" w:hAnsi="仿宋_GB2312" w:cs="仿宋_GB2312" w:eastAsia="仿宋_GB2312"/>
                <w:sz w:val="24"/>
              </w:rPr>
              <w:t>（</w:t>
            </w:r>
            <w:r>
              <w:rPr>
                <w:rFonts w:ascii="仿宋_GB2312" w:hAnsi="仿宋_GB2312" w:cs="仿宋_GB2312" w:eastAsia="仿宋_GB2312"/>
                <w:sz w:val="24"/>
              </w:rPr>
              <w:t>3）云MAS业务：包含一年短信，主要用于平台工单流转向转办人员</w:t>
            </w:r>
            <w:r>
              <w:rPr>
                <w:rFonts w:ascii="仿宋_GB2312" w:hAnsi="仿宋_GB2312" w:cs="仿宋_GB2312" w:eastAsia="仿宋_GB2312"/>
                <w:sz w:val="24"/>
              </w:rPr>
              <w:t>和回访等业务</w:t>
            </w:r>
            <w:r>
              <w:rPr>
                <w:rFonts w:ascii="仿宋_GB2312" w:hAnsi="仿宋_GB2312" w:cs="仿宋_GB2312" w:eastAsia="仿宋_GB2312"/>
                <w:sz w:val="24"/>
              </w:rPr>
              <w:t>发送提醒短信</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 xml:space="preserve">  （</w:t>
            </w:r>
            <w:r>
              <w:rPr>
                <w:rFonts w:ascii="仿宋_GB2312" w:hAnsi="仿宋_GB2312" w:cs="仿宋_GB2312" w:eastAsia="仿宋_GB2312"/>
                <w:sz w:val="24"/>
              </w:rPr>
              <w:t>4）IMS固话业务：包含一年语音通话，主要是12345办公室固话（互联网电话）</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场所租赁：</w:t>
            </w:r>
          </w:p>
          <w:p>
            <w:pPr>
              <w:pStyle w:val="null3"/>
              <w:jc w:val="both"/>
            </w:pPr>
            <w:r>
              <w:rPr>
                <w:rFonts w:ascii="仿宋_GB2312" w:hAnsi="仿宋_GB2312" w:cs="仿宋_GB2312" w:eastAsia="仿宋_GB2312"/>
                <w:sz w:val="24"/>
              </w:rPr>
              <w:t xml:space="preserve">   陕西省</w:t>
            </w:r>
            <w:r>
              <w:rPr>
                <w:rFonts w:ascii="仿宋_GB2312" w:hAnsi="仿宋_GB2312" w:cs="仿宋_GB2312" w:eastAsia="仿宋_GB2312"/>
                <w:sz w:val="24"/>
              </w:rPr>
              <w:t>同城</w:t>
            </w:r>
            <w:r>
              <w:rPr>
                <w:rFonts w:ascii="仿宋_GB2312" w:hAnsi="仿宋_GB2312" w:cs="仿宋_GB2312" w:eastAsia="仿宋_GB2312"/>
                <w:sz w:val="24"/>
              </w:rPr>
              <w:t>置业</w:t>
            </w:r>
            <w:r>
              <w:rPr>
                <w:rFonts w:ascii="仿宋_GB2312" w:hAnsi="仿宋_GB2312" w:cs="仿宋_GB2312" w:eastAsia="仿宋_GB2312"/>
                <w:sz w:val="24"/>
              </w:rPr>
              <w:t>写字楼</w:t>
            </w:r>
            <w:r>
              <w:rPr>
                <w:rFonts w:ascii="仿宋_GB2312" w:hAnsi="仿宋_GB2312" w:cs="仿宋_GB2312" w:eastAsia="仿宋_GB2312"/>
                <w:sz w:val="24"/>
              </w:rPr>
              <w:t>13楼</w:t>
            </w:r>
            <w:r>
              <w:rPr>
                <w:rFonts w:ascii="仿宋_GB2312" w:hAnsi="仿宋_GB2312" w:cs="仿宋_GB2312" w:eastAsia="仿宋_GB2312"/>
                <w:sz w:val="24"/>
              </w:rPr>
              <w:t>488.57</w:t>
            </w:r>
            <w:r>
              <w:rPr>
                <w:rFonts w:ascii="仿宋_GB2312" w:hAnsi="仿宋_GB2312" w:cs="仿宋_GB2312" w:eastAsia="仿宋_GB2312"/>
                <w:sz w:val="24"/>
              </w:rPr>
              <w:t>平米办公</w:t>
            </w:r>
            <w:r>
              <w:rPr>
                <w:rFonts w:ascii="仿宋_GB2312" w:hAnsi="仿宋_GB2312" w:cs="仿宋_GB2312" w:eastAsia="仿宋_GB2312"/>
                <w:sz w:val="24"/>
              </w:rPr>
              <w:t>区</w:t>
            </w:r>
            <w:r>
              <w:rPr>
                <w:rFonts w:ascii="仿宋_GB2312" w:hAnsi="仿宋_GB2312" w:cs="仿宋_GB2312" w:eastAsia="仿宋_GB2312"/>
                <w:sz w:val="24"/>
              </w:rPr>
              <w:t>一年</w:t>
            </w:r>
            <w:r>
              <w:rPr>
                <w:rFonts w:ascii="仿宋_GB2312" w:hAnsi="仿宋_GB2312" w:cs="仿宋_GB2312" w:eastAsia="仿宋_GB2312"/>
                <w:sz w:val="24"/>
              </w:rPr>
              <w:t>租金</w:t>
            </w:r>
            <w:r>
              <w:rPr>
                <w:rFonts w:ascii="仿宋_GB2312" w:hAnsi="仿宋_GB2312" w:cs="仿宋_GB2312" w:eastAsia="仿宋_GB2312"/>
                <w:sz w:val="24"/>
              </w:rPr>
              <w:t>。</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乙方派项目负责人一名，全面负责项目实施过程中的质量、安全、应急处理等服务管理工作。</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乙方保证设施设备运行正常。</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自合同签订起至2026年7月31日。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合同正式签订后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2025年12月31日前</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甲方依据《维保服务考核标准》对乙方进行考核，考核合格的，根据项目实施情况续签服务合同（不超过2年）；考核不合格，不再续签合同，乙方应持续提供服务直到新服务商驻场后才能撤离。</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民典法》、《政府采购法》的相关条款和本合同约定，乙方未全面履行合同义务或者发生违约，包含但不限于发生下列情形：1.反馈问题2个工作日内无明确回复，7个工作日内未解决；2.未按期巡检2次以上；3.未及时响应3次以上；4.乙方确保数据传输及时、准确，在省市各项考核考评中，若因乙方未按照省市考核中的相关要求提供技术服务导致扣分的。 甲方有权终止合同，依法向乙方进行经济索赔，索赔总金额不超过合同总金额的1%。 乙方必须保证工作安全，不得泄露甲方任何数据。因乙方原因造成甲方数据丢失、泄密的，由乙方承担责任。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不得为“信用中国”网站（www.creditchina.gov.cn）中列入重大税收违法失信主体的当事人，不得为“中国执行信息公开网”（http://zxgk.court.gov.cn）网站被列为失信被执行人，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附网站查询截图并进行电子签章。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法定代表人（负责人）参加采购响应的，须提供法定代表人（负责人）身份证明书；授权代表参加采购响应的，须提供法人授权委托书；</w:t>
            </w:r>
          </w:p>
        </w:tc>
        <w:tc>
          <w:tcPr>
            <w:tcW w:type="dxa" w:w="3322"/>
          </w:tcPr>
          <w:p>
            <w:pPr>
              <w:pStyle w:val="null3"/>
            </w:pPr>
            <w:r>
              <w:rPr>
                <w:rFonts w:ascii="仿宋_GB2312" w:hAnsi="仿宋_GB2312" w:cs="仿宋_GB2312" w:eastAsia="仿宋_GB2312"/>
              </w:rPr>
              <w:t>附相关资料并进行电子签章。</w:t>
            </w:r>
          </w:p>
        </w:tc>
        <w:tc>
          <w:tcPr>
            <w:tcW w:type="dxa" w:w="1661"/>
          </w:tcPr>
          <w:p>
            <w:pPr>
              <w:pStyle w:val="null3"/>
            </w:pPr>
            <w:r>
              <w:rPr>
                <w:rFonts w:ascii="仿宋_GB2312" w:hAnsi="仿宋_GB2312" w:cs="仿宋_GB2312" w:eastAsia="仿宋_GB2312"/>
              </w:rPr>
              <w:t>法定代表人证明与授权书</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是否与企业营业执照/事业单位法人证书/其他组织合法有效的证明文件等名称一致。</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法定代表人证明与授权书 供应商应提交的相关资格证明材料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中小企业声明函 商务应答表 法定代表人证明与授权书 供应商应提交的相关资格证明材料 服务内容及服务要求应答表 报价表 协商保证金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内容应齐全完整，字迹清晰、易于辨认；响应文件签字盖章符合文件要求，齐全有效，不得漏盖漏签。</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法定代表人证明与授权书 供应商应提交的相关资格证明材料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协商小组认为供应商响应报价明显低于其他通过符合性审查供应商的响应报价或低于市场价，有可能影响产品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服务内容及服务要求</w:t>
            </w:r>
          </w:p>
        </w:tc>
        <w:tc>
          <w:tcPr>
            <w:tcW w:type="dxa" w:w="3322"/>
          </w:tcPr>
          <w:p>
            <w:pPr>
              <w:pStyle w:val="null3"/>
            </w:pPr>
            <w:r>
              <w:rPr>
                <w:rFonts w:ascii="仿宋_GB2312" w:hAnsi="仿宋_GB2312" w:cs="仿宋_GB2312" w:eastAsia="仿宋_GB2312"/>
              </w:rPr>
              <w:t>是否响应采购文件要求。</w:t>
            </w:r>
          </w:p>
        </w:tc>
        <w:tc>
          <w:tcPr>
            <w:tcW w:type="dxa" w:w="1661"/>
          </w:tcPr>
          <w:p>
            <w:pPr>
              <w:pStyle w:val="null3"/>
            </w:pPr>
            <w:r>
              <w:rPr>
                <w:rFonts w:ascii="仿宋_GB2312" w:hAnsi="仿宋_GB2312" w:cs="仿宋_GB2312" w:eastAsia="仿宋_GB2312"/>
              </w:rPr>
              <w:t>服务内容及服务要求应答表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响应文件封面 中小企业声明函 残疾人福利性单位声明函 商务应答表 服务方案 法定代表人证明与授权书 供应商应提交的相关资格证明材料 服务内容及服务要求应答表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是否响应采购文件要求。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是否响应采购文件要求。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协商保证金</w:t>
            </w:r>
          </w:p>
        </w:tc>
        <w:tc>
          <w:tcPr>
            <w:tcW w:type="dxa" w:w="3322"/>
          </w:tcPr>
          <w:p>
            <w:pPr>
              <w:pStyle w:val="null3"/>
            </w:pPr>
            <w:r>
              <w:rPr>
                <w:rFonts w:ascii="仿宋_GB2312" w:hAnsi="仿宋_GB2312" w:cs="仿宋_GB2312" w:eastAsia="仿宋_GB2312"/>
              </w:rPr>
              <w:t>是否按照采购文件要求足额并按时交纳。</w:t>
            </w:r>
          </w:p>
        </w:tc>
        <w:tc>
          <w:tcPr>
            <w:tcW w:type="dxa" w:w="1661"/>
          </w:tcPr>
          <w:p>
            <w:pPr>
              <w:pStyle w:val="null3"/>
            </w:pPr>
            <w:r>
              <w:rPr>
                <w:rFonts w:ascii="仿宋_GB2312" w:hAnsi="仿宋_GB2312" w:cs="仿宋_GB2312" w:eastAsia="仿宋_GB2312"/>
              </w:rPr>
              <w:t>协商保证金</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详见附件：协商保证金</w:t>
      </w:r>
    </w:p>
    <w:p>
      <w:pPr>
        <w:pStyle w:val="null3"/>
        <w:ind w:firstLine="960"/>
      </w:pPr>
      <w:r>
        <w:rPr>
          <w:rFonts w:ascii="仿宋_GB2312" w:hAnsi="仿宋_GB2312" w:cs="仿宋_GB2312" w:eastAsia="仿宋_GB2312"/>
        </w:rPr>
        <w:t>详见附件：法定代表人证明与授权书</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详见附件：采购合同样本.docx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