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版本号：SXZTFY-2025-001420250827001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院子提升改造项目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SXZTFY-2025-0014</w:t>
      </w:r>
      <w:r>
        <w:br/>
      </w:r>
      <w:r>
        <w:br/>
      </w:r>
      <w:r>
        <w:br/>
      </w:r>
    </w:p>
    <w:p>
      <w:pPr>
        <w:pStyle w:val="null3"/>
        <w:jc w:val="center"/>
        <w:outlineLvl w:val="2"/>
      </w:pPr>
      <w:r>
        <w:rPr>
          <w:rFonts w:ascii="仿宋_GB2312" w:hAnsi="仿宋_GB2312" w:cs="仿宋_GB2312" w:eastAsia="仿宋_GB2312"/>
          <w:sz w:val="28"/>
          <w:b/>
        </w:rPr>
        <w:t>商洛市公安局商州分局</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商洛市公安局商州分局</w:t>
      </w:r>
      <w:r>
        <w:rPr>
          <w:rFonts w:ascii="仿宋_GB2312" w:hAnsi="仿宋_GB2312" w:cs="仿宋_GB2312" w:eastAsia="仿宋_GB2312"/>
        </w:rPr>
        <w:t>委托，拟对</w:t>
      </w:r>
      <w:r>
        <w:rPr>
          <w:rFonts w:ascii="仿宋_GB2312" w:hAnsi="仿宋_GB2312" w:cs="仿宋_GB2312" w:eastAsia="仿宋_GB2312"/>
        </w:rPr>
        <w:t>院子提升改造项目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SXZTFY-2025-0014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院子提升改造项目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商洛市公安局商州分局院子提升改造项目，计划工期：60日历天具，体内容详见磋商文件采购内容。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采购包1（商洛市公安局商州分局院子提升改造项目）：属于专门面向中小企业采购。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1、供应商资质：具备建筑工程施工总承包三级及以上资质或市政公用工程施工总承包三级及以上资质，且具备有效的安全生产许可证</w:t>
      </w:r>
    </w:p>
    <w:p>
      <w:pPr>
        <w:pStyle w:val="null3"/>
      </w:pPr>
      <w:r>
        <w:rPr>
          <w:rFonts w:ascii="仿宋_GB2312" w:hAnsi="仿宋_GB2312" w:cs="仿宋_GB2312" w:eastAsia="仿宋_GB2312"/>
        </w:rPr>
        <w:t>2、授权代表： 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3、拟派项目经理资格：项目经理需具备建筑工程或市政公用工程专业贰级及以上注册建造师证书和安全生产考核合格证（B证），且无在建工程</w:t>
      </w:r>
    </w:p>
    <w:p>
      <w:pPr>
        <w:pStyle w:val="null3"/>
      </w:pPr>
      <w:r>
        <w:rPr>
          <w:rFonts w:ascii="仿宋_GB2312" w:hAnsi="仿宋_GB2312" w:cs="仿宋_GB2312" w:eastAsia="仿宋_GB2312"/>
        </w:rPr>
        <w:t>4、信誉要求：供应商未被“信用中国”网站（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5、控股、管理关系：单位负责人为同一人或者存在直接控股、管理关系的不同投标人，不得参与同一合同项下的政府采购活动；为本项目提供整体设计、规范编制或者项目管理、监理、检测等服务的投标人，不得参加本项目投标；</w:t>
      </w:r>
    </w:p>
    <w:p>
      <w:pPr>
        <w:pStyle w:val="null3"/>
      </w:pPr>
      <w:r>
        <w:rPr>
          <w:rFonts w:ascii="仿宋_GB2312" w:hAnsi="仿宋_GB2312" w:cs="仿宋_GB2312" w:eastAsia="仿宋_GB2312"/>
        </w:rPr>
        <w:t>6、是否面向中小企业采购：本项目为专门面向中、小企业项目，供应商应为中型企业或小型企业或微型企业。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商洛市商州区江滨路东段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15091560534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17791182771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采购包1：938,473.14元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商洛市公安局商州分局</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商洛市公安局商州分局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地址：商洛市商州区城关街道办事处四皓社区民和路设计院16楼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938,473.14</w:t>
      </w:r>
    </w:p>
    <w:p>
      <w:pPr>
        <w:pStyle w:val="null3"/>
      </w:pPr>
      <w:r>
        <w:rPr>
          <w:rFonts w:ascii="仿宋_GB2312" w:hAnsi="仿宋_GB2312" w:cs="仿宋_GB2312" w:eastAsia="仿宋_GB2312"/>
        </w:rPr>
        <w:t>采购包最高限价（元）: 938,473.14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938473.14</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938,473.14</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标的名称：938473.14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具备建筑工程施工总承包三级及以上资质或市政公用工程施工总承包三级及以上资质，且具备有效的安全生产许可证</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 xml:space="preserve"> 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项目经理需具备建筑工程或市政公用工程专业贰级及以上注册建造师证书和安全生产考核合格证（B证），且无在建工程</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单位负责人为同一人或者存在直接控股、管理关系的不同投标人，不得参与同一合同项下的政府采购活动；为本项目提供整体设计、规范编制或者项目管理、监理、检测等服务的投标人，不得参加本项目投标；</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据磋商响应人针对本项目质量管理体系及保证措施响应情况赋分。 措施完备、合理、切实可行，得5-7分；措施完备、合理、基本可行，得3-4分；措施较差，得1-2分。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据磋商响应人针对本项目安全管理体系及保证措施响应情况赋分。 措施完备、合理、切实可行，得5-7分；措施完备、合理、基本可行，得3-4分；措施较差，得1-2分。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确保文明施工组织措施及环境保护措施</w:t>
            </w:r>
          </w:p>
        </w:tc>
        <w:tc>
          <w:tcPr>
            <w:tcW w:type="dxa" w:w="2492"/>
          </w:tcPr>
          <w:p>
            <w:pPr>
              <w:pStyle w:val="null3"/>
            </w:pPr>
            <w:r>
              <w:rPr>
                <w:rFonts w:ascii="仿宋_GB2312" w:hAnsi="仿宋_GB2312" w:cs="仿宋_GB2312" w:eastAsia="仿宋_GB2312"/>
              </w:rPr>
              <w:t>据磋商响应人针对本项目文明施工及环境保护措施响应情况赋分。 措施完备、合理、切实可行，得5-7分；措施完备、合理、基本可行，得3-4分；措施较差，得1-2分。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据磋商响应人针对本项目施工进度计划及保证措施响应情况赋分。 措施完备、合理、切实可行，得5-7分；措施完备、合理、基本可行，得3-4分；措施较差，得1-2分。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据磋商响应人针对本项目施工方案及技术措施响应情况赋分。 方案完备、合理、切实可行，得5-8分；方案完备、合理、基本可行，得3-4分；方案较差，得1-2分。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施工材料投入计划和机械设备配备计划</w:t>
            </w:r>
          </w:p>
        </w:tc>
        <w:tc>
          <w:tcPr>
            <w:tcW w:type="dxa" w:w="2492"/>
          </w:tcPr>
          <w:p>
            <w:pPr>
              <w:pStyle w:val="null3"/>
            </w:pPr>
            <w:r>
              <w:rPr>
                <w:rFonts w:ascii="仿宋_GB2312" w:hAnsi="仿宋_GB2312" w:cs="仿宋_GB2312" w:eastAsia="仿宋_GB2312"/>
              </w:rPr>
              <w:t>据磋商响应人针对本项目施工资源投入计划及措施（材料、机械）响应情况赋分。 计划完备、合理、切实可行，得5-7分；计划完备、合理、基本可行，得3-4分；计划较差，得1-2分。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据磋商响应人针对本项目组织管理机构及人员施工组织安排响应情况赋分。 人员齐全、组织安排合理、切实可行，得6-7分；人员较齐全、组织安排合理、基本可行，得3-5分；较差，得1-2分。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供应商独立完成过1项类似业绩得2分，本项最高得10分（须提供合同复印件或中标通知书复印件加盖单位公章）。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项目经理满足磋商文件资格要求的得6分，为工程师技术职称加2分，为高级及以上技术职称加4分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满足采购文件要求且投标最低的报价（最后的响应报价）为评标基准价，其价格分为满分。其他供应商的价格分统一按照下列公式计算：报价得分=（磋商基准价/最终磋商报价）×30%×100 计算分数时四舍五入取小数点后两位 1）根据《政府采购促进中小企业发展暂行办法》的相关规定，对小型和微型企业产品的价格给予6%的扣除，用扣除后的价格参与评审。 （2）根据《财政部民政部中国残疾人联合会关于促进残疾人就业政府采购政策的通知》（财库〔2017〕141号）的规定，对符合条件的残疾人福利性单位产品的价格给予6%的扣除，用扣除后的价格参与评审。 （3）根据《财政部司法部关于政府采购支持监狱企业发展有关问题的通知》（财库〔2014〕68号）的规定，对符合条件的监狱、戒毒企业单位产品的价格给予6%的扣除，用扣除后的价格参与评审。 注：以上政策同时具备的仅对其进行一次6%的价格扣除，不重复扣除。符合招标文件规定的中小企业、监狱企业、残疾人福利性单位优惠条件的供应商，价格给予6%的扣除，用扣除后的价格参与评审。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