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版本号：sxld-2025-cs-2620250912001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医疗服务能力提升(住院二部改造)设计项目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sxld-2025-cs-26</w:t>
      </w:r>
      <w:r>
        <w:br/>
      </w:r>
      <w:r>
        <w:br/>
      </w:r>
      <w:r>
        <w:br/>
      </w:r>
    </w:p>
    <w:p>
      <w:pPr>
        <w:pStyle w:val="null3"/>
        <w:jc w:val="center"/>
        <w:outlineLvl w:val="2"/>
      </w:pPr>
      <w:r>
        <w:rPr>
          <w:rFonts w:ascii="仿宋_GB2312" w:hAnsi="仿宋_GB2312" w:cs="仿宋_GB2312" w:eastAsia="仿宋_GB2312"/>
          <w:sz w:val="28"/>
          <w:b/>
        </w:rPr>
        <w:t>商洛市妇幼保健院</w:t>
      </w:r>
    </w:p>
    <w:p>
      <w:pPr>
        <w:pStyle w:val="null3"/>
        <w:jc w:val="center"/>
        <w:outlineLvl w:val="2"/>
      </w:pPr>
      <w:r>
        <w:rPr>
          <w:rFonts w:ascii="仿宋_GB2312" w:hAnsi="仿宋_GB2312" w:cs="仿宋_GB2312" w:eastAsia="仿宋_GB2312"/>
          <w:sz w:val="28"/>
          <w:b/>
        </w:rPr>
        <w:t>陕西洛鼎工程项目管理有限公司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陕西洛鼎工程项目管理有限公司</w:t>
      </w:r>
      <w:r>
        <w:rPr>
          <w:rFonts w:ascii="仿宋_GB2312" w:hAnsi="仿宋_GB2312" w:cs="仿宋_GB2312" w:eastAsia="仿宋_GB2312"/>
        </w:rPr>
        <w:t>（以下简称“代理机构”）受</w:t>
      </w:r>
      <w:r>
        <w:rPr>
          <w:rFonts w:ascii="仿宋_GB2312" w:hAnsi="仿宋_GB2312" w:cs="仿宋_GB2312" w:eastAsia="仿宋_GB2312"/>
        </w:rPr>
        <w:t>商洛市妇幼保健院</w:t>
      </w:r>
      <w:r>
        <w:rPr>
          <w:rFonts w:ascii="仿宋_GB2312" w:hAnsi="仿宋_GB2312" w:cs="仿宋_GB2312" w:eastAsia="仿宋_GB2312"/>
        </w:rPr>
        <w:t>委托，拟对</w:t>
      </w:r>
      <w:r>
        <w:rPr>
          <w:rFonts w:ascii="仿宋_GB2312" w:hAnsi="仿宋_GB2312" w:cs="仿宋_GB2312" w:eastAsia="仿宋_GB2312"/>
        </w:rPr>
        <w:t>医疗服务能力提升(住院二部改造)设计项目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sxld-2025-cs-26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医疗服务能力提升(住院二部改造)设计项目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拟对住院二部进行建筑结构加固、装饰装修、给排水、消防、暖通、强弱电、氧气管线工程等设计，同时涉及建筑外立面及部分附属设施改造设计，具体内容详见磋商文件。服务期限：30日历天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采购包1（商洛市妇幼保健院医疗服务能力提升(住院二部改造)设计项目）：属于专门面向中小企业采购。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2、法定代表人授权书：法定代表人授权书及被授权人身份证明。（法定代表人直接磋商只须提交其身份证明）</w:t>
      </w:r>
    </w:p>
    <w:p>
      <w:pPr>
        <w:pStyle w:val="null3"/>
      </w:pPr>
      <w:r>
        <w:rPr>
          <w:rFonts w:ascii="仿宋_GB2312" w:hAnsi="仿宋_GB2312" w:cs="仿宋_GB2312" w:eastAsia="仿宋_GB2312"/>
        </w:rPr>
        <w:t>3、资质：供应商须具备建设行政部门核发的工程设计综合甲级资质或建筑行业工程设计乙级及以上资质</w:t>
      </w:r>
    </w:p>
    <w:p>
      <w:pPr>
        <w:pStyle w:val="null3"/>
      </w:pPr>
      <w:r>
        <w:rPr>
          <w:rFonts w:ascii="仿宋_GB2312" w:hAnsi="仿宋_GB2312" w:cs="仿宋_GB2312" w:eastAsia="仿宋_GB2312"/>
        </w:rPr>
        <w:t>4、项目负责人：拟派该项目负责人需具备相关专业中级及以上职称</w:t>
      </w:r>
    </w:p>
    <w:p>
      <w:pPr>
        <w:pStyle w:val="null3"/>
      </w:pPr>
      <w:r>
        <w:rPr>
          <w:rFonts w:ascii="仿宋_GB2312" w:hAnsi="仿宋_GB2312" w:cs="仿宋_GB2312" w:eastAsia="仿宋_GB2312"/>
        </w:rPr>
        <w:t>5、信誉要求：投标人未被“信用中国”网站（ 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6、控股、管理关系：单位负责人为同一人或者存在直接控股、管理关系的不同供应商，不得参与同一合同项下的政府采购活动；为本项目提供整体设计、规范编制或者项目管理、监理、检测等服务的供应商，不得参加本项目磋商</w:t>
      </w:r>
    </w:p>
    <w:p>
      <w:pPr>
        <w:pStyle w:val="null3"/>
      </w:pPr>
      <w:r>
        <w:rPr>
          <w:rFonts w:ascii="仿宋_GB2312" w:hAnsi="仿宋_GB2312" w:cs="仿宋_GB2312" w:eastAsia="仿宋_GB2312"/>
        </w:rPr>
        <w:t>7、具有履行合同所必需的设备和专业技术能力：提供具有履行合同所必需的设备和专业技术能力的承诺函</w:t>
      </w:r>
    </w:p>
    <w:p>
      <w:pPr>
        <w:pStyle w:val="null3"/>
      </w:pPr>
      <w:r>
        <w:rPr>
          <w:rFonts w:ascii="仿宋_GB2312" w:hAnsi="仿宋_GB2312" w:cs="仿宋_GB2312" w:eastAsia="仿宋_GB2312"/>
        </w:rPr>
        <w:t>8、税收缴纳证明：提供2025年1月至今已缴存的至少一个月的依法缴纳税款的相关凭据（时间以税款所属日期为准、税种须包含增值税或企业所得税），凭据应有税务机关或代收机关的公章或业务专用章。依法免税或无须缴纳税款的供应商，应提供相应证明文件</w:t>
      </w:r>
    </w:p>
    <w:p>
      <w:pPr>
        <w:pStyle w:val="null3"/>
      </w:pPr>
      <w:r>
        <w:rPr>
          <w:rFonts w:ascii="仿宋_GB2312" w:hAnsi="仿宋_GB2312" w:cs="仿宋_GB2312" w:eastAsia="仿宋_GB2312"/>
        </w:rPr>
        <w:t>9、社会保障资金缴纳证明：提供2025年1月至今已缴存的至少一个月的社会保障资金缴存单据或社保机构开具的社会保险参保缴费情况证明，依法不需要缴纳社会保障资金的单位应提供相关证明材料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10、参加本次政府采购活动前三年内在经营活动中没有重大违纪：提供参加本次政府采购活动前三年内在经营活动中没有重大违纪书面声明</w:t>
      </w:r>
    </w:p>
    <w:p>
      <w:pPr>
        <w:pStyle w:val="null3"/>
      </w:pPr>
      <w:r>
        <w:rPr>
          <w:rFonts w:ascii="仿宋_GB2312" w:hAnsi="仿宋_GB2312" w:cs="仿宋_GB2312" w:eastAsia="仿宋_GB2312"/>
        </w:rPr>
        <w:t>11、法律、行政法规规定的其他条件：提供相关承诺书，格式自拟</w:t>
      </w:r>
    </w:p>
    <w:p>
      <w:pPr>
        <w:pStyle w:val="null3"/>
      </w:pPr>
      <w:r>
        <w:rPr>
          <w:rFonts w:ascii="仿宋_GB2312" w:hAnsi="仿宋_GB2312" w:cs="仿宋_GB2312" w:eastAsia="仿宋_GB2312"/>
        </w:rPr>
        <w:t>12、非联合体投标：提供非联合体投标承诺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商洛市妇幼保健院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商洛市商州区香菊路7号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葛俊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13209143313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陕西洛鼎工程项目管理有限公司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陕西省商洛市商州区陕西省商洛市商州区城关街道办事处东关社区朝阳家园8号楼1单元15楼1501户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0914-8066113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采购包1：667,800.00元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标的</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标的</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标的</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代理服务费收费标准：1、成交服务费按约定由成交供应商支付。 2、成交供应商应依据成交金额向采购代理机构交纳代理服务费，交费金额参照《招标代理服务收费管理暂行办法》（计价格（2002）1980号）附件规定的收费标准收取，不足伍仟元按伍仟元收取。 3、本项目代理服务费按服务计取。 开户名称：陕西洛鼎工程项目管理有限公司 开 户 行：中国建设银行商洛商州区工农路支行 账 号：6105 0167 4200 0000 0537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商洛市妇幼保健院</w:t>
      </w:r>
      <w:r>
        <w:rPr>
          <w:rFonts w:ascii="仿宋_GB2312" w:hAnsi="仿宋_GB2312" w:cs="仿宋_GB2312" w:eastAsia="仿宋_GB2312"/>
        </w:rPr>
        <w:t>和</w:t>
      </w:r>
      <w:r>
        <w:rPr>
          <w:rFonts w:ascii="仿宋_GB2312" w:hAnsi="仿宋_GB2312" w:cs="仿宋_GB2312" w:eastAsia="仿宋_GB2312"/>
        </w:rPr>
        <w:t>陕西洛鼎工程项目管理有限公司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商洛市妇幼保健院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陕西洛鼎工程项目管理有限公司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商洛市妇幼保健院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陕西洛鼎工程项目管理有限公司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符合相关法律法规规定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陕西洛鼎工程项目管理有限公司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陕西洛鼎工程项目管理有限公司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陕西洛鼎工程项目管理有限公司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联系人：李倩</w:t>
      </w:r>
    </w:p>
    <w:p>
      <w:pPr>
        <w:pStyle w:val="null3"/>
      </w:pPr>
      <w:r>
        <w:rPr>
          <w:rFonts w:ascii="仿宋_GB2312" w:hAnsi="仿宋_GB2312" w:cs="仿宋_GB2312" w:eastAsia="仿宋_GB2312"/>
        </w:rPr>
        <w:t>联系电话：0914-8066113</w:t>
      </w:r>
    </w:p>
    <w:p>
      <w:pPr>
        <w:pStyle w:val="null3"/>
      </w:pPr>
      <w:r>
        <w:rPr>
          <w:rFonts w:ascii="仿宋_GB2312" w:hAnsi="仿宋_GB2312" w:cs="仿宋_GB2312" w:eastAsia="仿宋_GB2312"/>
        </w:rPr>
        <w:t>地址：商洛市商州区朝阳路朝阳家园 8 号楼 1 单元 1501 户</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拟对住院二部进行建筑结构加固、装饰装修、给排水、消防、暖通、强弱电、氧气管线工程等设计，同时涉及建筑外立面及部分附属设施改造设计，1项,具体内容详见磋商文件。服务期限：30日历天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667,800.00</w:t>
      </w:r>
    </w:p>
    <w:p>
      <w:pPr>
        <w:pStyle w:val="null3"/>
      </w:pPr>
      <w:r>
        <w:rPr>
          <w:rFonts w:ascii="仿宋_GB2312" w:hAnsi="仿宋_GB2312" w:cs="仿宋_GB2312" w:eastAsia="仿宋_GB2312"/>
        </w:rPr>
        <w:t>采购包最高限价（元）: 667,800.00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667800.00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667,800.00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标的名称：667800.00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1、服务要求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标的名称：</w:t>
            </w:r>
            <w:r>
              <w:rPr>
                <w:rFonts w:ascii="仿宋_GB2312" w:hAnsi="仿宋_GB2312" w:cs="仿宋_GB2312" w:eastAsia="仿宋_GB2312"/>
              </w:rPr>
              <w:t>商洛市妇幼保健院医疗服务能力提升</w:t>
            </w:r>
            <w:r>
              <w:rPr>
                <w:rFonts w:ascii="仿宋_GB2312" w:hAnsi="仿宋_GB2312" w:cs="仿宋_GB2312" w:eastAsia="仿宋_GB2312"/>
              </w:rPr>
              <w:t>(住院二部改造)设计项目</w:t>
            </w:r>
          </w:p>
          <w:tbl>
            <w:tblPr>
              <w:tblBorders>
                <w:top w:val="none" w:color="000000" w:sz="4"/>
                <w:left w:val="none" w:color="000000" w:sz="4"/>
                <w:bottom w:val="none" w:color="000000" w:sz="4"/>
                <w:right w:val="none" w:color="000000" w:sz="4"/>
                <w:insideH w:val="none"/>
                <w:insideV w:val="none"/>
              </w:tblBorders>
            </w:tblPr>
            <w:tblGrid>
              <w:gridCol w:w="200"/>
              <w:gridCol w:w="314"/>
              <w:gridCol w:w="2039"/>
            </w:tblGrid>
            <w:tr>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参数性质</w:t>
                  </w:r>
                </w:p>
              </w:tc>
              <w:tc>
                <w:tcPr>
                  <w:tcW w:type="dxa" w:w="20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招标项目概况：</w:t>
                  </w:r>
                </w:p>
                <w:p>
                  <w:pPr>
                    <w:pStyle w:val="null3"/>
                  </w:pPr>
                  <w:r>
                    <w:rPr>
                      <w:rFonts w:ascii="仿宋_GB2312" w:hAnsi="仿宋_GB2312" w:cs="仿宋_GB2312" w:eastAsia="仿宋_GB2312"/>
                      <w:sz w:val="21"/>
                    </w:rPr>
                    <w:t>1、招标范围</w:t>
                  </w:r>
                </w:p>
                <w:p>
                  <w:pPr>
                    <w:pStyle w:val="null3"/>
                  </w:pPr>
                  <w:r>
                    <w:rPr>
                      <w:rFonts w:ascii="仿宋_GB2312" w:hAnsi="仿宋_GB2312" w:cs="仿宋_GB2312" w:eastAsia="仿宋_GB2312"/>
                      <w:sz w:val="21"/>
                    </w:rPr>
                    <w:t>商洛市妇幼保健院医疗服务能力提升</w:t>
                  </w:r>
                  <w:r>
                    <w:rPr>
                      <w:rFonts w:ascii="仿宋_GB2312" w:hAnsi="仿宋_GB2312" w:cs="仿宋_GB2312" w:eastAsia="仿宋_GB2312"/>
                      <w:sz w:val="21"/>
                    </w:rPr>
                    <w:t>(住院二部改造)设计项目</w:t>
                  </w:r>
                  <w:r>
                    <w:rPr>
                      <w:rFonts w:ascii="仿宋_GB2312" w:hAnsi="仿宋_GB2312" w:cs="仿宋_GB2312" w:eastAsia="仿宋_GB2312"/>
                      <w:sz w:val="21"/>
                    </w:rPr>
                    <w:t>服务。</w:t>
                  </w:r>
                </w:p>
                <w:p>
                  <w:pPr>
                    <w:pStyle w:val="null3"/>
                    <w:jc w:val="both"/>
                  </w:pPr>
                  <w:r>
                    <w:rPr>
                      <w:rFonts w:ascii="仿宋_GB2312" w:hAnsi="仿宋_GB2312" w:cs="仿宋_GB2312" w:eastAsia="仿宋_GB2312"/>
                      <w:sz w:val="21"/>
                    </w:rPr>
                    <w:t>2、主要设计内容：</w:t>
                  </w:r>
                  <w:r>
                    <w:rPr>
                      <w:rFonts w:ascii="仿宋_GB2312" w:hAnsi="仿宋_GB2312" w:cs="仿宋_GB2312" w:eastAsia="仿宋_GB2312"/>
                      <w:sz w:val="21"/>
                    </w:rPr>
                    <w:t>对住院二部进行建筑结构加固、装饰装修、给排水、消防、暖通、强弱电、氧气管线工程等设计，同时涉及建筑外立面及部分附属设施改造设计</w:t>
                  </w:r>
                  <w:r>
                    <w:rPr>
                      <w:rFonts w:ascii="仿宋_GB2312" w:hAnsi="仿宋_GB2312" w:cs="仿宋_GB2312" w:eastAsia="仿宋_GB2312"/>
                      <w:sz w:val="21"/>
                    </w:rPr>
                    <w:t>等，主要包括本项目的初步设计、概算编制、施工图设计、招标技术标准要求编制、招标及施工过程配合服务等工作。</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1.设计技术标准及工作要求</w:t>
                  </w:r>
                </w:p>
                <w:p>
                  <w:pPr>
                    <w:pStyle w:val="null3"/>
                    <w:jc w:val="both"/>
                  </w:pPr>
                  <w:r>
                    <w:rPr>
                      <w:rFonts w:ascii="仿宋_GB2312" w:hAnsi="仿宋_GB2312" w:cs="仿宋_GB2312" w:eastAsia="仿宋_GB2312"/>
                      <w:sz w:val="19"/>
                    </w:rPr>
                    <w:t>设计目标：</w:t>
                  </w:r>
                  <w:r>
                    <w:rPr>
                      <w:rFonts w:ascii="仿宋_GB2312" w:hAnsi="仿宋_GB2312" w:cs="仿宋_GB2312" w:eastAsia="仿宋_GB2312"/>
                      <w:sz w:val="19"/>
                    </w:rPr>
                    <w:t>满足《</w:t>
                  </w:r>
                  <w:r>
                    <w:rPr>
                      <w:rFonts w:ascii="仿宋_GB2312" w:hAnsi="仿宋_GB2312" w:cs="仿宋_GB2312" w:eastAsia="仿宋_GB2312"/>
                      <w:sz w:val="19"/>
                    </w:rPr>
                    <w:t>建筑工程设计文件编制深度规定</w:t>
                  </w:r>
                  <w:r>
                    <w:rPr>
                      <w:rFonts w:ascii="仿宋_GB2312" w:hAnsi="仿宋_GB2312" w:cs="仿宋_GB2312" w:eastAsia="仿宋_GB2312"/>
                      <w:sz w:val="19"/>
                    </w:rPr>
                    <w:t>(2016年版)</w:t>
                  </w:r>
                  <w:r>
                    <w:rPr>
                      <w:rFonts w:ascii="仿宋_GB2312" w:hAnsi="仿宋_GB2312" w:cs="仿宋_GB2312" w:eastAsia="仿宋_GB2312"/>
                      <w:sz w:val="19"/>
                    </w:rPr>
                    <w:t>》编制深度要求。</w:t>
                  </w:r>
                </w:p>
                <w:p>
                  <w:pPr>
                    <w:pStyle w:val="null3"/>
                    <w:jc w:val="both"/>
                  </w:pPr>
                  <w:r>
                    <w:rPr>
                      <w:rFonts w:ascii="仿宋_GB2312" w:hAnsi="仿宋_GB2312" w:cs="仿宋_GB2312" w:eastAsia="仿宋_GB2312"/>
                      <w:sz w:val="19"/>
                    </w:rPr>
                    <w:t>2.设计服务包括但不限于本项目的工程设计工作，按进度要求提供初步设计文件、施工图设计文件等设计成果，解决施工中的设计技术问题，配合项目竣工验收等技术服务工作。</w:t>
                  </w:r>
                </w:p>
                <w:p>
                  <w:pPr>
                    <w:pStyle w:val="null3"/>
                    <w:jc w:val="both"/>
                  </w:pPr>
                  <w:r>
                    <w:rPr>
                      <w:rFonts w:ascii="仿宋_GB2312" w:hAnsi="仿宋_GB2312" w:cs="仿宋_GB2312" w:eastAsia="仿宋_GB2312"/>
                      <w:sz w:val="19"/>
                    </w:rPr>
                    <w:t>3.适用规范、规程、标准：</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1</w:t>
                  </w:r>
                  <w:r>
                    <w:rPr>
                      <w:rFonts w:ascii="仿宋_GB2312" w:hAnsi="仿宋_GB2312" w:cs="仿宋_GB2312" w:eastAsia="仿宋_GB2312"/>
                      <w:sz w:val="19"/>
                    </w:rPr>
                    <w:t>工程设计应符合国家现行规范、规程、标准的规定，包括但不限于如下推荐，如有后继变更，则应以最新版本或最新颁发者为准。</w:t>
                  </w:r>
                </w:p>
                <w:p>
                  <w:pPr>
                    <w:pStyle w:val="null3"/>
                    <w:jc w:val="both"/>
                  </w:pPr>
                  <w:r>
                    <w:rPr>
                      <w:rFonts w:ascii="仿宋_GB2312" w:hAnsi="仿宋_GB2312" w:cs="仿宋_GB2312" w:eastAsia="仿宋_GB2312"/>
                      <w:sz w:val="19"/>
                    </w:rPr>
                    <w:t>《建筑工程设计文件编制深度规定》</w:t>
                  </w:r>
                  <w:r>
                    <w:rPr>
                      <w:rFonts w:ascii="仿宋_GB2312" w:hAnsi="仿宋_GB2312" w:cs="仿宋_GB2312" w:eastAsia="仿宋_GB2312"/>
                      <w:sz w:val="19"/>
                    </w:rPr>
                    <w:t>(2016年版)</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《民用建筑设计统一标准》</w:t>
                  </w:r>
                  <w:r>
                    <w:rPr>
                      <w:rFonts w:ascii="仿宋_GB2312" w:hAnsi="仿宋_GB2312" w:cs="仿宋_GB2312" w:eastAsia="仿宋_GB2312"/>
                      <w:sz w:val="19"/>
                    </w:rPr>
                    <w:t>GB 50352-2019</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《民用建筑通用规范》</w:t>
                  </w:r>
                  <w:r>
                    <w:rPr>
                      <w:rFonts w:ascii="仿宋_GB2312" w:hAnsi="仿宋_GB2312" w:cs="仿宋_GB2312" w:eastAsia="仿宋_GB2312"/>
                      <w:sz w:val="19"/>
                    </w:rPr>
                    <w:t>(GB 55031-2022)</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《综合医院建筑设计规范》</w:t>
                  </w:r>
                  <w:r>
                    <w:rPr>
                      <w:rFonts w:ascii="仿宋_GB2312" w:hAnsi="仿宋_GB2312" w:cs="仿宋_GB2312" w:eastAsia="仿宋_GB2312"/>
                      <w:sz w:val="19"/>
                    </w:rPr>
                    <w:t>GB51039-2014</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《建筑防火通用规范》</w:t>
                  </w:r>
                  <w:r>
                    <w:rPr>
                      <w:rFonts w:ascii="仿宋_GB2312" w:hAnsi="仿宋_GB2312" w:cs="仿宋_GB2312" w:eastAsia="仿宋_GB2312"/>
                      <w:sz w:val="19"/>
                    </w:rPr>
                    <w:t>GB55037-2022</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《建筑设计防火规范》</w:t>
                  </w:r>
                  <w:r>
                    <w:rPr>
                      <w:rFonts w:ascii="仿宋_GB2312" w:hAnsi="仿宋_GB2312" w:cs="仿宋_GB2312" w:eastAsia="仿宋_GB2312"/>
                      <w:sz w:val="19"/>
                    </w:rPr>
                    <w:t>GB 50016-2014(2018年版)</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《既有建筑维护与改造通用规范》</w:t>
                  </w:r>
                  <w:r>
                    <w:rPr>
                      <w:rFonts w:ascii="仿宋_GB2312" w:hAnsi="仿宋_GB2312" w:cs="仿宋_GB2312" w:eastAsia="仿宋_GB2312"/>
                      <w:sz w:val="19"/>
                    </w:rPr>
                    <w:t>(GB55022-2021)</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《无障碍设计规范》</w:t>
                  </w:r>
                  <w:r>
                    <w:rPr>
                      <w:rFonts w:ascii="仿宋_GB2312" w:hAnsi="仿宋_GB2312" w:cs="仿宋_GB2312" w:eastAsia="仿宋_GB2312"/>
                      <w:sz w:val="19"/>
                    </w:rPr>
                    <w:t>(GB 50763-2012)</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《建筑节能与可再生能源利用通用规范》</w:t>
                  </w:r>
                  <w:r>
                    <w:rPr>
                      <w:rFonts w:ascii="仿宋_GB2312" w:hAnsi="仿宋_GB2312" w:cs="仿宋_GB2312" w:eastAsia="仿宋_GB2312"/>
                      <w:sz w:val="19"/>
                    </w:rPr>
                    <w:t>(GB55015-2021)</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《建筑与市政工程无障碍通用规范》</w:t>
                  </w:r>
                  <w:r>
                    <w:rPr>
                      <w:rFonts w:ascii="仿宋_GB2312" w:hAnsi="仿宋_GB2312" w:cs="仿宋_GB2312" w:eastAsia="仿宋_GB2312"/>
                      <w:sz w:val="19"/>
                    </w:rPr>
                    <w:t>(GB55019-2021)</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《建筑与市政工程防水通用规范》</w:t>
                  </w:r>
                  <w:r>
                    <w:rPr>
                      <w:rFonts w:ascii="仿宋_GB2312" w:hAnsi="仿宋_GB2312" w:cs="仿宋_GB2312" w:eastAsia="仿宋_GB2312"/>
                      <w:sz w:val="19"/>
                    </w:rPr>
                    <w:t>(GB55030-2022)</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《建筑内部装修设计防火规范》</w:t>
                  </w:r>
                  <w:r>
                    <w:rPr>
                      <w:rFonts w:ascii="仿宋_GB2312" w:hAnsi="仿宋_GB2312" w:cs="仿宋_GB2312" w:eastAsia="仿宋_GB2312"/>
                      <w:sz w:val="19"/>
                    </w:rPr>
                    <w:t>(GB50222-2017)</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《民用建筑供暖通风与空气调节设计规范》</w:t>
                  </w:r>
                  <w:r>
                    <w:rPr>
                      <w:rFonts w:ascii="仿宋_GB2312" w:hAnsi="仿宋_GB2312" w:cs="仿宋_GB2312" w:eastAsia="仿宋_GB2312"/>
                      <w:sz w:val="19"/>
                    </w:rPr>
                    <w:t>(GB50736-2012)</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《建筑防烟排烟系统技术标准》</w:t>
                  </w:r>
                  <w:r>
                    <w:rPr>
                      <w:rFonts w:ascii="仿宋_GB2312" w:hAnsi="仿宋_GB2312" w:cs="仿宋_GB2312" w:eastAsia="仿宋_GB2312"/>
                      <w:sz w:val="19"/>
                    </w:rPr>
                    <w:t>(GB51251-2017)</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国家现行有关主要规范、规定等。</w:t>
                  </w:r>
                </w:p>
                <w:p>
                  <w:pPr>
                    <w:pStyle w:val="null3"/>
                    <w:jc w:val="both"/>
                  </w:pPr>
                  <w:r>
                    <w:rPr>
                      <w:rFonts w:ascii="仿宋_GB2312" w:hAnsi="仿宋_GB2312" w:cs="仿宋_GB2312" w:eastAsia="仿宋_GB2312"/>
                      <w:sz w:val="19"/>
                    </w:rPr>
                    <w:t>3.2上述规范和标准如发生不一致时，则以要求最为严格的规范、规程或标准作为工作依据。</w:t>
                  </w:r>
                </w:p>
                <w:p>
                  <w:pPr>
                    <w:pStyle w:val="null3"/>
                    <w:jc w:val="both"/>
                  </w:pPr>
                  <w:r>
                    <w:rPr>
                      <w:rFonts w:ascii="仿宋_GB2312" w:hAnsi="仿宋_GB2312" w:cs="仿宋_GB2312" w:eastAsia="仿宋_GB2312"/>
                      <w:sz w:val="19"/>
                    </w:rPr>
                    <w:t>4.设计文件要求：</w:t>
                  </w:r>
                </w:p>
                <w:p>
                  <w:pPr>
                    <w:pStyle w:val="null3"/>
                    <w:jc w:val="both"/>
                  </w:pPr>
                  <w:r>
                    <w:rPr>
                      <w:rFonts w:ascii="仿宋_GB2312" w:hAnsi="仿宋_GB2312" w:cs="仿宋_GB2312" w:eastAsia="仿宋_GB2312"/>
                      <w:sz w:val="21"/>
                    </w:rPr>
                    <w:t>建筑</w:t>
                  </w:r>
                  <w:r>
                    <w:rPr>
                      <w:rFonts w:ascii="仿宋_GB2312" w:hAnsi="仿宋_GB2312" w:cs="仿宋_GB2312" w:eastAsia="仿宋_GB2312"/>
                      <w:sz w:val="21"/>
                    </w:rPr>
                    <w:t>工程设计</w:t>
                  </w:r>
                  <w:r>
                    <w:rPr>
                      <w:rFonts w:ascii="仿宋_GB2312" w:hAnsi="仿宋_GB2312" w:cs="仿宋_GB2312" w:eastAsia="仿宋_GB2312"/>
                      <w:sz w:val="21"/>
                    </w:rPr>
                    <w:t>响应文件</w:t>
                  </w:r>
                  <w:r>
                    <w:rPr>
                      <w:rFonts w:ascii="仿宋_GB2312" w:hAnsi="仿宋_GB2312" w:cs="仿宋_GB2312" w:eastAsia="仿宋_GB2312"/>
                      <w:sz w:val="21"/>
                    </w:rPr>
                    <w:t>宜达到建设部《</w:t>
                  </w:r>
                  <w:r>
                    <w:rPr>
                      <w:rFonts w:ascii="仿宋_GB2312" w:hAnsi="仿宋_GB2312" w:cs="仿宋_GB2312" w:eastAsia="仿宋_GB2312"/>
                      <w:sz w:val="21"/>
                    </w:rPr>
                    <w:t>建筑工程设计文件编制深度规定</w:t>
                  </w:r>
                  <w:r>
                    <w:rPr>
                      <w:rFonts w:ascii="仿宋_GB2312" w:hAnsi="仿宋_GB2312" w:cs="仿宋_GB2312" w:eastAsia="仿宋_GB2312"/>
                      <w:sz w:val="21"/>
                    </w:rPr>
                    <w:t>(2016年版)</w:t>
                  </w:r>
                  <w:r>
                    <w:rPr>
                      <w:rFonts w:ascii="仿宋_GB2312" w:hAnsi="仿宋_GB2312" w:cs="仿宋_GB2312" w:eastAsia="仿宋_GB2312"/>
                      <w:sz w:val="21"/>
                    </w:rPr>
                    <w:t>）》相应设计阶段的要求</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报价方式：按总价报价；包含完成本项目所有工作内容的费用，包括但不限于设计费、现场配合费、食宿费、差旅费、设计文件工本费、专家评审费、研究报告费、所有税费及发包人变更委托设计项目、规模、要求条件或由政府政策变化引起的价格浮动风险等，发包人不再另行支付设计人任何款项。</w:t>
                  </w:r>
                </w:p>
              </w:tc>
            </w:tr>
          </w:tbl>
          <w:p>
            <w:pPr>
              <w:pStyle w:val="null3"/>
            </w:pPr>
            <w:r>
              <w:rPr>
                <w:rFonts w:ascii="仿宋_GB2312" w:hAnsi="仿宋_GB2312" w:cs="仿宋_GB2312" w:eastAsia="仿宋_GB2312"/>
                <w:sz w:val="28"/>
                <w:b/>
              </w:rPr>
              <w:t>2、人员配置要求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根据磋商文件</w:t>
            </w:r>
            <w:r>
              <w:rPr>
                <w:rFonts w:ascii="仿宋_GB2312" w:hAnsi="仿宋_GB2312" w:cs="仿宋_GB2312" w:eastAsia="仿宋_GB2312"/>
              </w:rPr>
              <w:t>{评分标准}</w:t>
            </w:r>
            <w:r>
              <w:rPr>
                <w:rFonts w:ascii="仿宋_GB2312" w:hAnsi="仿宋_GB2312" w:cs="仿宋_GB2312" w:eastAsia="仿宋_GB2312"/>
              </w:rPr>
              <w:t>要求及合同约定执行。</w:t>
            </w:r>
          </w:p>
          <w:p>
            <w:pPr>
              <w:pStyle w:val="null3"/>
            </w:pPr>
            <w:r>
              <w:rPr>
                <w:rFonts w:ascii="仿宋_GB2312" w:hAnsi="仿宋_GB2312" w:cs="仿宋_GB2312" w:eastAsia="仿宋_GB2312"/>
                <w:sz w:val="28"/>
                <w:b/>
              </w:rPr>
              <w:t>3、设施设备要求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根据磋商文件</w:t>
            </w:r>
            <w:r>
              <w:rPr>
                <w:rFonts w:ascii="仿宋_GB2312" w:hAnsi="仿宋_GB2312" w:cs="仿宋_GB2312" w:eastAsia="仿宋_GB2312"/>
              </w:rPr>
              <w:t>{评分标准}</w:t>
            </w:r>
            <w:r>
              <w:rPr>
                <w:rFonts w:ascii="仿宋_GB2312" w:hAnsi="仿宋_GB2312" w:cs="仿宋_GB2312" w:eastAsia="仿宋_GB2312"/>
              </w:rPr>
              <w:t>要求及合同约定执行。</w:t>
            </w:r>
          </w:p>
          <w:p>
            <w:pPr>
              <w:pStyle w:val="null3"/>
            </w:pPr>
            <w:r>
              <w:rPr>
                <w:rFonts w:ascii="仿宋_GB2312" w:hAnsi="仿宋_GB2312" w:cs="仿宋_GB2312" w:eastAsia="仿宋_GB2312"/>
                <w:sz w:val="28"/>
                <w:b/>
              </w:rPr>
              <w:t>4、其他要求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根据磋商文件</w:t>
            </w:r>
            <w:r>
              <w:rPr>
                <w:rFonts w:ascii="仿宋_GB2312" w:hAnsi="仿宋_GB2312" w:cs="仿宋_GB2312" w:eastAsia="仿宋_GB2312"/>
              </w:rPr>
              <w:t>{评分标准}</w:t>
            </w:r>
            <w:r>
              <w:rPr>
                <w:rFonts w:ascii="仿宋_GB2312" w:hAnsi="仿宋_GB2312" w:cs="仿宋_GB2312" w:eastAsia="仿宋_GB2312"/>
              </w:rPr>
              <w:t>要求及合同约定执行。</w:t>
            </w:r>
            <w:r>
              <w:rPr>
                <w:rFonts w:ascii="仿宋_GB2312" w:hAnsi="仿宋_GB2312" w:cs="仿宋_GB2312" w:eastAsia="仿宋_GB2312"/>
              </w:rPr>
              <w:t>例如：业绩</w:t>
            </w:r>
          </w:p>
          <w:p>
            <w:pPr>
              <w:pStyle w:val="null3"/>
            </w:pPr>
            <w:r>
              <w:rPr>
                <w:rFonts w:ascii="仿宋_GB2312" w:hAnsi="仿宋_GB2312" w:cs="仿宋_GB2312" w:eastAsia="仿宋_GB2312"/>
                <w:sz w:val="28"/>
                <w:b/>
              </w:rPr>
              <w:t>5、商务要求</w:t>
            </w:r>
          </w:p>
          <w:p>
            <w:pPr>
              <w:pStyle w:val="null3"/>
            </w:pPr>
            <w:r>
              <w:rPr>
                <w:rFonts w:ascii="仿宋_GB2312" w:hAnsi="仿宋_GB2312" w:cs="仿宋_GB2312" w:eastAsia="仿宋_GB2312"/>
                <w:sz w:val="24"/>
                <w:b/>
              </w:rPr>
              <w:t>5.1服务期限</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自合同签订之日起</w:t>
            </w:r>
            <w:r>
              <w:rPr>
                <w:rFonts w:ascii="仿宋_GB2312" w:hAnsi="仿宋_GB2312" w:cs="仿宋_GB2312" w:eastAsia="仿宋_GB2312"/>
              </w:rPr>
              <w:t>30天内完成</w:t>
            </w:r>
          </w:p>
          <w:p>
            <w:pPr>
              <w:pStyle w:val="null3"/>
            </w:pPr>
            <w:r>
              <w:rPr>
                <w:rFonts w:ascii="仿宋_GB2312" w:hAnsi="仿宋_GB2312" w:cs="仿宋_GB2312" w:eastAsia="仿宋_GB2312"/>
                <w:sz w:val="24"/>
                <w:b/>
              </w:rPr>
              <w:t>5.2服务地点</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sz w:val="24"/>
                <w:b/>
              </w:rPr>
              <w:t>5.3考核（验收）标准和方法</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根据磋商文件要求及合同约定执行，符合国家或行业相关标准。</w:t>
            </w:r>
          </w:p>
          <w:p>
            <w:pPr>
              <w:pStyle w:val="null3"/>
            </w:pPr>
            <w:r>
              <w:rPr>
                <w:rFonts w:ascii="仿宋_GB2312" w:hAnsi="仿宋_GB2312" w:cs="仿宋_GB2312" w:eastAsia="仿宋_GB2312"/>
                <w:sz w:val="24"/>
                <w:b/>
              </w:rPr>
              <w:t>5.4支付方式</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sz w:val="24"/>
                <w:b/>
              </w:rPr>
              <w:t>5.5支付约定</w:t>
            </w:r>
          </w:p>
          <w:p>
            <w:pPr>
              <w:pStyle w:val="null3"/>
            </w:pPr>
            <w:r>
              <w:rPr>
                <w:rFonts w:ascii="仿宋_GB2312" w:hAnsi="仿宋_GB2312" w:cs="仿宋_GB2312" w:eastAsia="仿宋_GB2312"/>
                <w:color w:val="000000"/>
              </w:rPr>
              <w:t>采购人与成交供应商协商约定</w:t>
            </w:r>
          </w:p>
          <w:p>
            <w:pPr>
              <w:pStyle w:val="null3"/>
            </w:pPr>
            <w:r>
              <w:rPr>
                <w:rFonts w:ascii="仿宋_GB2312" w:hAnsi="仿宋_GB2312" w:cs="仿宋_GB2312" w:eastAsia="仿宋_GB2312"/>
                <w:sz w:val="24"/>
                <w:b/>
              </w:rPr>
              <w:t>5.6违约责任及解决争议的方法</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根据磋商文件要求及合同约定执行，符合国家或行业相关标准。</w:t>
            </w:r>
          </w:p>
          <w:p>
            <w:pPr>
              <w:pStyle w:val="null3"/>
            </w:pPr>
            <w:r>
              <w:rPr>
                <w:rFonts w:ascii="仿宋_GB2312" w:hAnsi="仿宋_GB2312" w:cs="仿宋_GB2312" w:eastAsia="仿宋_GB2312"/>
                <w:sz w:val="28"/>
                <w:b/>
              </w:rPr>
              <w:t>6、设计成果</w:t>
            </w:r>
          </w:p>
          <w:p>
            <w:pPr>
              <w:pStyle w:val="null3"/>
            </w:pPr>
            <w:r>
              <w:rPr>
                <w:rFonts w:ascii="仿宋_GB2312" w:hAnsi="仿宋_GB2312" w:cs="仿宋_GB2312" w:eastAsia="仿宋_GB2312"/>
              </w:rPr>
              <w:t>1.成果文件的组成:设计报告、图纸、概算、计算书等。</w:t>
            </w:r>
          </w:p>
          <w:p>
            <w:pPr>
              <w:pStyle w:val="null3"/>
            </w:pPr>
            <w:r>
              <w:rPr>
                <w:rFonts w:ascii="仿宋_GB2312" w:hAnsi="仿宋_GB2312" w:cs="仿宋_GB2312" w:eastAsia="仿宋_GB2312"/>
              </w:rPr>
              <w:t>2.成果文件深度:符合规范要求。</w:t>
            </w:r>
          </w:p>
          <w:p>
            <w:pPr>
              <w:pStyle w:val="null3"/>
            </w:pPr>
            <w:r>
              <w:rPr>
                <w:rFonts w:ascii="仿宋_GB2312" w:hAnsi="仿宋_GB2312" w:cs="仿宋_GB2312" w:eastAsia="仿宋_GB2312"/>
              </w:rPr>
              <w:t>3.成果文件的格式要求:纸质版及电子版。</w:t>
            </w:r>
          </w:p>
          <w:p>
            <w:pPr>
              <w:pStyle w:val="null3"/>
            </w:pPr>
            <w:r>
              <w:rPr>
                <w:rFonts w:ascii="仿宋_GB2312" w:hAnsi="仿宋_GB2312" w:cs="仿宋_GB2312" w:eastAsia="仿宋_GB2312"/>
              </w:rPr>
              <w:t>4.成果文件的份数要求:送审文件满足审查需求。</w:t>
            </w:r>
          </w:p>
          <w:p>
            <w:pPr>
              <w:pStyle w:val="null3"/>
            </w:pPr>
            <w:r>
              <w:rPr>
                <w:rFonts w:ascii="仿宋_GB2312" w:hAnsi="仿宋_GB2312" w:cs="仿宋_GB2312" w:eastAsia="仿宋_GB2312"/>
              </w:rPr>
              <w:t>5.成果文件的载体要求</w:t>
            </w:r>
          </w:p>
          <w:p>
            <w:pPr>
              <w:pStyle w:val="null3"/>
            </w:pPr>
            <w:r>
              <w:rPr>
                <w:rFonts w:ascii="仿宋_GB2312" w:hAnsi="仿宋_GB2312" w:cs="仿宋_GB2312" w:eastAsia="仿宋_GB2312"/>
              </w:rPr>
              <w:t>(1)纸质版的要求:应当加盖设计专用章。</w:t>
            </w:r>
          </w:p>
          <w:p>
            <w:pPr>
              <w:pStyle w:val="null3"/>
            </w:pPr>
            <w:r>
              <w:rPr>
                <w:rFonts w:ascii="仿宋_GB2312" w:hAnsi="仿宋_GB2312" w:cs="仿宋_GB2312" w:eastAsia="仿宋_GB2312"/>
              </w:rPr>
              <w:t>(2)电子版的要求:</w:t>
            </w:r>
          </w:p>
          <w:p>
            <w:pPr>
              <w:pStyle w:val="null3"/>
            </w:pPr>
            <w:r>
              <w:rPr>
                <w:rFonts w:ascii="仿宋_GB2312" w:hAnsi="仿宋_GB2312" w:cs="仿宋_GB2312" w:eastAsia="仿宋_GB2312"/>
              </w:rPr>
              <w:t>图纸</w:t>
            </w:r>
            <w:r>
              <w:rPr>
                <w:rFonts w:ascii="仿宋_GB2312" w:hAnsi="仿宋_GB2312" w:cs="仿宋_GB2312" w:eastAsia="仿宋_GB2312"/>
              </w:rPr>
              <w:t>:CAD格式</w:t>
            </w:r>
            <w:r>
              <w:rPr>
                <w:rFonts w:ascii="仿宋_GB2312" w:hAnsi="仿宋_GB2312" w:cs="仿宋_GB2312" w:eastAsia="仿宋_GB2312"/>
              </w:rPr>
              <w:t>；</w:t>
            </w:r>
          </w:p>
          <w:p>
            <w:pPr>
              <w:pStyle w:val="null3"/>
            </w:pPr>
            <w:r>
              <w:rPr>
                <w:rFonts w:ascii="仿宋_GB2312" w:hAnsi="仿宋_GB2312" w:cs="仿宋_GB2312" w:eastAsia="仿宋_GB2312"/>
              </w:rPr>
              <w:t>报告</w:t>
            </w:r>
            <w:r>
              <w:rPr>
                <w:rFonts w:ascii="仿宋_GB2312" w:hAnsi="仿宋_GB2312" w:cs="仿宋_GB2312" w:eastAsia="仿宋_GB2312"/>
              </w:rPr>
              <w:t>:word格式，并应使用光盘和U盘分别贮存。</w:t>
            </w: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487"/>
              <w:gridCol w:w="1041"/>
              <w:gridCol w:w="460"/>
              <w:gridCol w:w="1193"/>
            </w:tblGrid>
            <w:tr>
              <w:tc>
                <w:tcPr>
                  <w:tcW w:type="dxa" w:w="4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0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资料及文件名称</w:t>
                  </w:r>
                </w:p>
              </w:tc>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份数</w:t>
                  </w:r>
                </w:p>
              </w:tc>
              <w:tc>
                <w:tcPr>
                  <w:tcW w:type="dxa" w:w="1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方案设计</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方案电子版及纸质版</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初步设计</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方案电子版及纸质版</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施工图设计</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10套（纸质版）、电子版2套</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概算书</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2套（纸质版）、电子版1套</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根据磋商文件{评分标准}要求及合同约定执行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根据磋商文件{评分标准}要求及合同约定执行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根据磋商文件{评分标准}要求及合同约定执行。例如：业绩</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根据磋商文件要求及合同约定执行，符合国家或行业相关标准。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采购人与成交供应商协商约定</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（1）财政部、工业和信息化部关于印发《政府采购促进中小企业发展管理办法》的通知-财库〔2020〕46号 （2）关于进一步加大政府采购支持中小企业力度的通知-财库〔2022〕19号 （3）财政部司法部关于政府采购支持监狱企业发展有关问题的通知-财库〔2014〕68号 （4）财政部民政部中国残疾人联合会关于促进残疾人就业政府采购政策的通知-财库〔2017〕141号 （5）财政部国家发展和改革委员会关于印发《节能产品政府采购实施意见》的通知-财库〔2004〕185号 （6）财政部发展改革委关于印发节能产品政府采购品目清单的通知 -财库〔20 19〕19号 （7）财政部、国家环保总局联合印发《关于环境标志产品政府采购实施的意见》-财库〔2006〕90号 （8）财政部发展改革委生态环境部市场监管总局关于调整优化节能产品、环境 标志产品政府采购执行机制的通知-财库〔2019〕9号 （9）财政部生态环境部关于印发环境标志产品政府采购品目清单的通知-财库〔2019〕18号 （10）财政部 农业农村部 国家乡村振兴局关于运用政府采购政策支持乡村产业振兴的通知-财库〔2021〕19号 （11）财政部、农业农村部、国家乡村振兴局、中华全国供销合作总社关于印 发《关于深入开展政府采购脱贫地区农副产品工作推进乡村产业振兴的实施意见》的通知-财库〔2021〕20号 （12）陕西省财政厅关于落实政府采购支持中小企业政策有关事项的通知-陕财 办采函〔2022〕10号 （13）陕西省财政厅关于进一步加强政府绿色采购有关问题的通知-陕财办采〔 2021〕29号（14）陕西省财政厅关于印发《陕西省中小企业政府采购信用融资办法》-陕财办采〔2018〕23号 （15）陕西省财政厅关于加快推进我省中小企业政府采购信用融资工作的通知- 陕财办采〔2020〕15号 （16）陕西省财政厅中国人民银行西安分行关于深入推进政府采购信用融资业务的通知-陕财办采〔2023〕5号 （17）如有最新颁布的政府采购政策，按最新的文件执行。</w:t>
            </w:r>
          </w:p>
        </w:tc>
        <w:tc>
          <w:tcPr>
            <w:tcW w:type="dxa" w:w="1661"/>
          </w:tcPr>
          <w:p>
            <w:pPr>
              <w:pStyle w:val="null3"/>
            </w:pPr>
            <w:r>
              <w:rPr>
                <w:rFonts w:ascii="仿宋_GB2312" w:hAnsi="仿宋_GB2312" w:cs="仿宋_GB2312" w:eastAsia="仿宋_GB2312"/>
              </w:rPr>
              <w:t>响应文件封面 业绩一览表.docx 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响应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w:t>
            </w:r>
          </w:p>
        </w:tc>
        <w:tc>
          <w:tcPr>
            <w:tcW w:type="dxa" w:w="1661"/>
          </w:tcPr>
          <w:p>
            <w:pPr>
              <w:pStyle w:val="null3"/>
            </w:pPr>
            <w:r>
              <w:rPr>
                <w:rFonts w:ascii="仿宋_GB2312" w:hAnsi="仿宋_GB2312" w:cs="仿宋_GB2312" w:eastAsia="仿宋_GB2312"/>
              </w:rPr>
              <w:t>法定代表人身份证明书.docx 供应商应提交的相关资格证明材料.docx 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供应商须具备建设行政部门核发的工程设计综合甲级资质或建筑行业工程设计乙级及以上资质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拟派该项目负责人需具备相关专业中级及以上职称</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投标人未被“信用中国”网站（ 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单位负责人为同一人或者存在直接控股、管理关系的不同供应商，不得参与同一合同项下的政府采购活动；为本项目提供整体设计、规范编制或者项目管理、监理、检测等服务的供应商，不得参加本项目磋商</w:t>
            </w:r>
          </w:p>
        </w:tc>
        <w:tc>
          <w:tcPr>
            <w:tcW w:type="dxa" w:w="1661"/>
          </w:tcPr>
          <w:p>
            <w:pPr>
              <w:pStyle w:val="null3"/>
            </w:pPr>
            <w:r>
              <w:rPr>
                <w:rFonts w:ascii="仿宋_GB2312" w:hAnsi="仿宋_GB2312" w:cs="仿宋_GB2312" w:eastAsia="仿宋_GB2312"/>
              </w:rPr>
              <w:t>供应商应提交的相关资格证明材料.docx 控股关系.docx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供应商应提交的相关资格证明材料.docx 具有履行合同所必需的设备和专业技术能力.docx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存的至少一个月的依法缴纳税款的相关凭据（时间以税款所属日期为准、税种须包含增值税或企业所得税），凭据应有税务机关或代收机关的公章或业务专用章。依法免税或无须缴纳税款的供应商，应提供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参加本次政府采购活动前三年内在经营活动中没有重大违纪</w:t>
            </w:r>
          </w:p>
        </w:tc>
        <w:tc>
          <w:tcPr>
            <w:tcW w:type="dxa" w:w="3322"/>
          </w:tcPr>
          <w:p>
            <w:pPr>
              <w:pStyle w:val="null3"/>
            </w:pPr>
            <w:r>
              <w:rPr>
                <w:rFonts w:ascii="仿宋_GB2312" w:hAnsi="仿宋_GB2312" w:cs="仿宋_GB2312" w:eastAsia="仿宋_GB2312"/>
              </w:rPr>
              <w:t>提供参加本次政府采购活动前三年内在经营活动中没有重大违纪书面声明</w:t>
            </w:r>
          </w:p>
        </w:tc>
        <w:tc>
          <w:tcPr>
            <w:tcW w:type="dxa" w:w="1661"/>
          </w:tcPr>
          <w:p>
            <w:pPr>
              <w:pStyle w:val="null3"/>
            </w:pPr>
            <w:r>
              <w:rPr>
                <w:rFonts w:ascii="仿宋_GB2312" w:hAnsi="仿宋_GB2312" w:cs="仿宋_GB2312" w:eastAsia="仿宋_GB2312"/>
              </w:rPr>
              <w:t>供应商应提交的相关资格证明材料.docx 参加政府采购活动前三年内，在经营活动中没有重大违法记录.docx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提供相关承诺书，格式自拟</w:t>
            </w:r>
          </w:p>
        </w:tc>
        <w:tc>
          <w:tcPr>
            <w:tcW w:type="dxa" w:w="1661"/>
          </w:tcPr>
          <w:p>
            <w:pPr>
              <w:pStyle w:val="null3"/>
            </w:pPr>
            <w:r>
              <w:rPr>
                <w:rFonts w:ascii="仿宋_GB2312" w:hAnsi="仿宋_GB2312" w:cs="仿宋_GB2312" w:eastAsia="仿宋_GB2312"/>
              </w:rPr>
              <w:t>供应商应提交的相关资格证明材料.docx 供应商拒绝政府采购领域商业贿赂承诺书.docx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提供非联合体投标承诺</w:t>
            </w:r>
          </w:p>
        </w:tc>
        <w:tc>
          <w:tcPr>
            <w:tcW w:type="dxa" w:w="1661"/>
          </w:tcPr>
          <w:p>
            <w:pPr>
              <w:pStyle w:val="null3"/>
            </w:pPr>
            <w:r>
              <w:rPr>
                <w:rFonts w:ascii="仿宋_GB2312" w:hAnsi="仿宋_GB2312" w:cs="仿宋_GB2312" w:eastAsia="仿宋_GB2312"/>
              </w:rPr>
              <w:t>非联合体承诺.docx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保证措施及承诺</w:t>
            </w:r>
          </w:p>
        </w:tc>
        <w:tc>
          <w:tcPr>
            <w:tcW w:type="dxa" w:w="2492"/>
          </w:tcPr>
          <w:p>
            <w:pPr>
              <w:pStyle w:val="null3"/>
            </w:pPr>
            <w:r>
              <w:rPr>
                <w:rFonts w:ascii="仿宋_GB2312" w:hAnsi="仿宋_GB2312" w:cs="仿宋_GB2312" w:eastAsia="仿宋_GB2312"/>
              </w:rPr>
              <w:t>针对本项目的设计质量、造价控制、设计进度等方面的质量保证措施及承诺。 1、思路清晰、内容全面、保证措施及相应承诺详细，完全符合本次采购需求，计 12分； 2、思路、内容较完整，保证措施及相应承诺较详细，基本符合本次采购需求，计8分； 3、思路有偏差、保证措施及相应承诺简单，计4分； 4、思路有较大偏差、保证措施及相应承诺空泛，计1分； 5、未提供的不计分。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拟投入本项目的工具、设备配置</w:t>
            </w:r>
          </w:p>
        </w:tc>
        <w:tc>
          <w:tcPr>
            <w:tcW w:type="dxa" w:w="2492"/>
          </w:tcPr>
          <w:p>
            <w:pPr>
              <w:pStyle w:val="null3"/>
            </w:pPr>
            <w:r>
              <w:rPr>
                <w:rFonts w:ascii="仿宋_GB2312" w:hAnsi="仿宋_GB2312" w:cs="仿宋_GB2312" w:eastAsia="仿宋_GB2312"/>
              </w:rPr>
              <w:t>拟投入本项目的工具、设备配置的数量及种类齐全、合理。 1、工具、设备配置的数量及种类齐全、合理，满足采购人需求，计5分； 2、工具、设备配置的数量及种类较齐全、合理，基本满足采购人需求，计3分； 3、工具、设备配置的数量不齐全、种类简单，计1分；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针对本项目实施过程中突发状况提出应急服务方案，能够保证项目顺利实施。 1、方案完善、切实可行，计8分； 2、方案较完善、可行度较高，计6分； 3、方案简单，可行性不足，计3分。 4、未提供不计分。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项目理解及分析</w:t>
            </w:r>
          </w:p>
        </w:tc>
        <w:tc>
          <w:tcPr>
            <w:tcW w:type="dxa" w:w="2492"/>
          </w:tcPr>
          <w:p>
            <w:pPr>
              <w:pStyle w:val="null3"/>
            </w:pPr>
            <w:r>
              <w:rPr>
                <w:rFonts w:ascii="仿宋_GB2312" w:hAnsi="仿宋_GB2312" w:cs="仿宋_GB2312" w:eastAsia="仿宋_GB2312"/>
              </w:rPr>
              <w:t>供应商对本项目背景、服务内容、目标需求理解全面，分析到位；对本项目设计实施阶段的重点难点进行分析并提出解决思路。 1、理解全面、重点难点分析完整、解决思路合理，计8分； 2、理解较全面、重点难点分析较完整、解决思路基本合理，计6分； 3、理解不全面、重点难点分析不到位、解决思路不合理，计3分； 4、未提供不计分。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供应商针对本项目有完善的实施方案（包括但不限于工程的方案设计、初步设计、施工图设计、设计概算及相关设计服务等）。 1、实施方案内容完善详实、相关措施科学合理、可行性强，计12分； 2、实施方案内容较完善、相关措施基本合理可行，计8分； 3、实施方案内容不缺项，但简单笼统，合理性可行性一般，计4分； 4、整体设计方案内容缺1项，已提供内容基本合理可行，计1分； 5、未提供的不计分。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1、拟派项目负责人具备相关专业高级及以上技术职称（含高级技术职称）的计5分，具备中级技术职称的计3分，其它情况不计分。 注：以拟派项目负责人相关证书及开标前6个月内供应商为其缴纳社保的证明材料为准，未提供或提供不全不计分。 拟派项目负责人具有2022年9月1日至今类似设计项目业绩（以合同签订时间为准），每提供一份有效业绩计1分，最高计5分。 注：拟派项目负责人业绩证明材料以合同（合同中须体现拟派项目负责人的姓名或其相关信息内容）复印件或扫描件并加盖供应商公章为准，合同主体须为供应商本企业。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设计人员配备</w:t>
            </w:r>
          </w:p>
        </w:tc>
        <w:tc>
          <w:tcPr>
            <w:tcW w:type="dxa" w:w="2492"/>
          </w:tcPr>
          <w:p>
            <w:pPr>
              <w:pStyle w:val="null3"/>
            </w:pPr>
            <w:r>
              <w:rPr>
                <w:rFonts w:ascii="仿宋_GB2312" w:hAnsi="仿宋_GB2312" w:cs="仿宋_GB2312" w:eastAsia="仿宋_GB2312"/>
              </w:rPr>
              <w:t>拟派设计团队专业设计人员配备齐全并提供相关证明材料(包括但不限于人员履历、相关资格证书、相关经验)，要求配备人员数量充足、岗位明确、管理构架合理，相关证明材料完整齐全得10分；基本完整得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提供实施过程中可能遇见的重难点，并提供解决方案。（5分） 1、能够提出本项目实施过程中可能遇见的重点、难点，并提供针对性的措施及解决方案计5分； 2、能够提出本项目实施过程中可能遇见的重点、难点，未提供针对性的措施及解决方案或措施及解决方案不合理计2分；未提供不计分。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提供供应商2022年9月1日至今类似设计项目业绩（以合同签订时间为准），每提供一份有效业绩计2分，最高计10分。若提供虚假业绩，一经发现，按无效文件处理。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详见附件：参加政府采购活动前三年内，在经营活动中没有重大违法记录.docx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详见附件：具有履行合同所必需的设备和专业技术能力.docx</w:t>
      </w:r>
    </w:p>
    <w:p>
      <w:pPr>
        <w:pStyle w:val="null3"/>
        <w:ind w:firstLine="960"/>
      </w:pPr>
      <w:r>
        <w:rPr>
          <w:rFonts w:ascii="仿宋_GB2312" w:hAnsi="仿宋_GB2312" w:cs="仿宋_GB2312" w:eastAsia="仿宋_GB2312"/>
        </w:rPr>
        <w:t>详见附件：控股关系.docx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详见附件：非联合体承诺.docx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