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版本号：XZMT--2025021C20250918002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商洛市生态环境综合执法能力建设项目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XZMT--2025021C</w:t>
      </w:r>
      <w:r>
        <w:br/>
      </w:r>
      <w:r>
        <w:br/>
      </w:r>
      <w:r>
        <w:br/>
      </w:r>
    </w:p>
    <w:p>
      <w:pPr>
        <w:pStyle w:val="null3"/>
        <w:jc w:val="center"/>
        <w:outlineLvl w:val="2"/>
      </w:pPr>
      <w:r>
        <w:rPr>
          <w:rFonts w:ascii="仿宋_GB2312" w:hAnsi="仿宋_GB2312" w:cs="仿宋_GB2312" w:eastAsia="仿宋_GB2312"/>
          <w:sz w:val="28"/>
          <w:b/>
        </w:rPr>
        <w:t>商洛市生态环境保护综合执法支队</w:t>
      </w:r>
    </w:p>
    <w:p>
      <w:pPr>
        <w:pStyle w:val="null3"/>
        <w:jc w:val="center"/>
        <w:outlineLvl w:val="2"/>
      </w:pPr>
      <w:r>
        <w:rPr>
          <w:rFonts w:ascii="仿宋_GB2312" w:hAnsi="仿宋_GB2312" w:cs="仿宋_GB2312" w:eastAsia="仿宋_GB2312"/>
          <w:sz w:val="28"/>
          <w:b/>
        </w:rPr>
        <w:t>陕西兴正明泰项目管理有限公司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陕西兴正明泰项目管理有限公司</w:t>
      </w:r>
      <w:r>
        <w:rPr>
          <w:rFonts w:ascii="仿宋_GB2312" w:hAnsi="仿宋_GB2312" w:cs="仿宋_GB2312" w:eastAsia="仿宋_GB2312"/>
        </w:rPr>
        <w:t>（以下简称“代理机构”）受</w:t>
      </w:r>
      <w:r>
        <w:rPr>
          <w:rFonts w:ascii="仿宋_GB2312" w:hAnsi="仿宋_GB2312" w:cs="仿宋_GB2312" w:eastAsia="仿宋_GB2312"/>
        </w:rPr>
        <w:t>商洛市生态环境保护综合执法支队</w:t>
      </w:r>
      <w:r>
        <w:rPr>
          <w:rFonts w:ascii="仿宋_GB2312" w:hAnsi="仿宋_GB2312" w:cs="仿宋_GB2312" w:eastAsia="仿宋_GB2312"/>
        </w:rPr>
        <w:t>委托，拟对</w:t>
      </w:r>
      <w:r>
        <w:rPr>
          <w:rFonts w:ascii="仿宋_GB2312" w:hAnsi="仿宋_GB2312" w:cs="仿宋_GB2312" w:eastAsia="仿宋_GB2312"/>
        </w:rPr>
        <w:t>商洛市生态环境综合执法能力建设项目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XZMT--2025021C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商洛市生态环境综合执法能力建设项目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切实提高综合执法支队执法能力，有效应对区域内污染企业及监测排口的快速巡检稽查，快速有效定位污染源，方便生态环境执法人员对企业进行环保执法监管，满足商洛市生态环境系统移动执法基本需求，结合本市实际需求，进行配置行政执法装备。通过执法装备的配置对执法人员进行技术武装，对环境执法数据进行有效性分析，提高环境风险防控能力和环境执法能力，提升环境督察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10、联合体：本项目不接受联合体投标；供应商需在项目电子化交易系统中按要求填写《承诺书》完成承诺并进行电子签章。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10、联合体：本项目不接受联合体投标；供应商需在项目电子化交易系统中按要求填写《承诺书》完成承诺并进行电子签章。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商洛市商州区名人街西段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商洛市生态环境保护综合执法支队经办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17382551026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陕西兴正明泰项目管理有限公司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陕西省商洛市商州区州城路万达广场2号门对面翠湖明珠商住楼西边二楼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任普毅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0914-2251000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采购包1：3,740,000.00元</w:t>
            </w:r>
          </w:p>
          <w:p>
            <w:pPr>
              <w:pStyle w:val="null3"/>
            </w:pPr>
            <w:r>
              <w:rPr>
                <w:rFonts w:ascii="仿宋_GB2312" w:hAnsi="仿宋_GB2312" w:cs="仿宋_GB2312" w:eastAsia="仿宋_GB2312"/>
              </w:rPr>
              <w:t>采购包2：3,240,000.00元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说明：中标供应商在与采购人签订合同前，须缴纳履约保证金。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说明：中标供应商在与采购人签订合同前，须缴纳履约保证金。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代理服务费收费标准：参照《国家发展改革委办 公厅颁发的关于招标代理服务费收费有关问题的通知》( 发改办价格〔2002〕1980号)及《调整后的招标代理服务 收费标准》(发改价格〔2011〕534号)的有关规定计取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商洛市生态环境保护综合执法支队</w:t>
      </w:r>
      <w:r>
        <w:rPr>
          <w:rFonts w:ascii="仿宋_GB2312" w:hAnsi="仿宋_GB2312" w:cs="仿宋_GB2312" w:eastAsia="仿宋_GB2312"/>
        </w:rPr>
        <w:t>和</w:t>
      </w:r>
      <w:r>
        <w:rPr>
          <w:rFonts w:ascii="仿宋_GB2312" w:hAnsi="仿宋_GB2312" w:cs="仿宋_GB2312" w:eastAsia="仿宋_GB2312"/>
        </w:rPr>
        <w:t>陕西兴正明泰项目管理有限公司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商洛市生态环境保护综合执法支队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陕西兴正明泰项目管理有限公司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陕西兴正明泰项目管理有限公司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180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联系人：任普毅</w:t>
      </w:r>
    </w:p>
    <w:p>
      <w:pPr>
        <w:pStyle w:val="null3"/>
      </w:pPr>
      <w:r>
        <w:rPr>
          <w:rFonts w:ascii="仿宋_GB2312" w:hAnsi="仿宋_GB2312" w:cs="仿宋_GB2312" w:eastAsia="仿宋_GB2312"/>
        </w:rPr>
        <w:t>联系电话：0914-2251000</w:t>
      </w:r>
    </w:p>
    <w:p>
      <w:pPr>
        <w:pStyle w:val="null3"/>
      </w:pPr>
      <w:r>
        <w:rPr>
          <w:rFonts w:ascii="仿宋_GB2312" w:hAnsi="仿宋_GB2312" w:cs="仿宋_GB2312" w:eastAsia="仿宋_GB2312"/>
        </w:rPr>
        <w:t>地址：商洛市商州区州城路万达广场2号门对面翠湖明珠商住楼西边二楼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提高综合执法支队执法能力，有效应对区域内污染企业及监测排口的快速巡检稽查，快速有效定位污染源，方便生态环境执法人员对企业进行环保执法监管，满足商洛市生态环境系统移动执法基本需求，结合本市实际需求，进行配置行政执法装备。通过执法装备的配置对执法人员进行技术武装，对环境执法数据进行有效性分析，提高环境风险防控能力和环境执法能力，提升环境督察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3,740,000.00</w:t>
      </w:r>
    </w:p>
    <w:p>
      <w:pPr>
        <w:pStyle w:val="null3"/>
      </w:pPr>
      <w:r>
        <w:rPr>
          <w:rFonts w:ascii="仿宋_GB2312" w:hAnsi="仿宋_GB2312" w:cs="仿宋_GB2312" w:eastAsia="仿宋_GB2312"/>
        </w:rPr>
        <w:t>采购包最高限价（元）: 3,740,000.00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3,240,000.00</w:t>
      </w:r>
    </w:p>
    <w:p>
      <w:pPr>
        <w:pStyle w:val="null3"/>
      </w:pPr>
      <w:r>
        <w:rPr>
          <w:rFonts w:ascii="仿宋_GB2312" w:hAnsi="仿宋_GB2312" w:cs="仿宋_GB2312" w:eastAsia="仿宋_GB2312"/>
        </w:rPr>
        <w:t>采购包最高限价（元）: 3,240,000.00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182"/>
              <w:gridCol w:w="163"/>
              <w:gridCol w:w="1583"/>
              <w:gridCol w:w="318"/>
              <w:gridCol w:w="290"/>
            </w:tblGrid>
            <w:tr>
              <w:tc>
                <w:tcPr>
                  <w:tcW w:type="dxa" w:w="18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设备名称</w:t>
                  </w:r>
                </w:p>
              </w:tc>
              <w:tc>
                <w:tcPr>
                  <w:tcW w:type="dxa" w:w="158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技术参数</w:t>
                  </w:r>
                </w:p>
              </w:tc>
              <w:tc>
                <w:tcPr>
                  <w:tcW w:type="dxa" w:w="31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数量（套）</w:t>
                  </w:r>
                </w:p>
              </w:tc>
              <w:tc>
                <w:tcPr>
                  <w:tcW w:type="dxa" w:w="29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备注</w:t>
                  </w: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便携式烟气分析仪</w:t>
                  </w:r>
                </w:p>
              </w:tc>
              <w:tc>
                <w:tcPr>
                  <w:tcW w:type="dxa" w:w="15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right="210"/>
                  </w:pPr>
                  <w:r>
                    <w:rPr>
                      <w:rFonts w:ascii="仿宋_GB2312" w:hAnsi="仿宋_GB2312" w:cs="仿宋_GB2312" w:eastAsia="仿宋_GB2312"/>
                      <w:sz w:val="21"/>
                      <w:b/>
                    </w:rPr>
                    <w:t>便携式烟气分析仪</w:t>
                  </w:r>
                </w:p>
                <w:p>
                  <w:pPr>
                    <w:pStyle w:val="null3"/>
                    <w:ind w:firstLine="420"/>
                    <w:jc w:val="both"/>
                  </w:pPr>
                  <w:r>
                    <w:rPr>
                      <w:rFonts w:ascii="仿宋_GB2312" w:hAnsi="仿宋_GB2312" w:cs="仿宋_GB2312" w:eastAsia="仿宋_GB2312"/>
                      <w:sz w:val="21"/>
                    </w:rPr>
                    <w:t>以紫外吸收光谱技术为基础，采用热湿法原理，用于固定污染源废气中</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NO、NO</w:t>
                  </w:r>
                  <w:r>
                    <w:rPr>
                      <w:rFonts w:ascii="仿宋_GB2312" w:hAnsi="仿宋_GB2312" w:cs="仿宋_GB2312" w:eastAsia="仿宋_GB2312"/>
                      <w:sz w:val="21"/>
                      <w:vertAlign w:val="subscript"/>
                    </w:rPr>
                    <w:t>2</w:t>
                  </w:r>
                  <w:r>
                    <w:rPr>
                      <w:rFonts w:ascii="仿宋_GB2312" w:hAnsi="仿宋_GB2312" w:cs="仿宋_GB2312" w:eastAsia="仿宋_GB2312"/>
                      <w:sz w:val="21"/>
                    </w:rPr>
                    <w:t>等烟气浓度的现场检测</w:t>
                  </w:r>
                  <w:r>
                    <w:rPr>
                      <w:rFonts w:ascii="仿宋_GB2312" w:hAnsi="仿宋_GB2312" w:cs="仿宋_GB2312" w:eastAsia="仿宋_GB2312"/>
                      <w:sz w:val="21"/>
                    </w:rPr>
                    <w:t>。</w:t>
                  </w:r>
                </w:p>
                <w:p>
                  <w:pPr>
                    <w:pStyle w:val="null3"/>
                    <w:ind w:right="315"/>
                  </w:pPr>
                  <w:r>
                    <w:rPr>
                      <w:rFonts w:ascii="仿宋_GB2312" w:hAnsi="仿宋_GB2312" w:cs="仿宋_GB2312" w:eastAsia="仿宋_GB2312"/>
                      <w:sz w:val="28"/>
                      <w:b/>
                    </w:rPr>
                    <w:t>1.</w:t>
                  </w:r>
                  <w:r>
                    <w:rPr>
                      <w:rFonts w:ascii="仿宋_GB2312" w:hAnsi="仿宋_GB2312" w:cs="仿宋_GB2312" w:eastAsia="仿宋_GB2312"/>
                      <w:sz w:val="28"/>
                      <w:b/>
                    </w:rPr>
                    <w:t>基本要求</w:t>
                  </w:r>
                </w:p>
                <w:p>
                  <w:pPr>
                    <w:pStyle w:val="null3"/>
                    <w:numPr>
                      <w:ilvl w:val="0"/>
                      <w:numId w:val="1"/>
                    </w:numPr>
                    <w:jc w:val="both"/>
                  </w:pPr>
                  <w:r>
                    <w:rPr>
                      <w:rFonts w:ascii="仿宋_GB2312" w:hAnsi="仿宋_GB2312" w:cs="仿宋_GB2312" w:eastAsia="仿宋_GB2312"/>
                      <w:sz w:val="21"/>
                    </w:rPr>
                    <w:t>采用紫外差分吸收光谱技术，热湿法测量，全程伴热，主机内置阻容法湿度传感器，可实时测量烟气湿度；</w:t>
                  </w:r>
                </w:p>
                <w:p>
                  <w:pPr>
                    <w:pStyle w:val="null3"/>
                    <w:numPr>
                      <w:ilvl w:val="0"/>
                      <w:numId w:val="1"/>
                    </w:numPr>
                    <w:jc w:val="both"/>
                  </w:pPr>
                  <w:r>
                    <w:rPr>
                      <w:rFonts w:ascii="仿宋_GB2312" w:hAnsi="仿宋_GB2312" w:cs="仿宋_GB2312" w:eastAsia="仿宋_GB2312"/>
                      <w:sz w:val="21"/>
                    </w:rPr>
                    <w:t>采用脉冲氙灯冷光源，预热时间短；</w:t>
                  </w:r>
                </w:p>
                <w:p>
                  <w:pPr>
                    <w:pStyle w:val="null3"/>
                    <w:numPr>
                      <w:ilvl w:val="0"/>
                      <w:numId w:val="1"/>
                    </w:numPr>
                    <w:jc w:val="both"/>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21"/>
                    </w:rPr>
                    <w:t>双量程，根据浓度值自动切换量程；</w:t>
                  </w:r>
                </w:p>
                <w:p>
                  <w:pPr>
                    <w:pStyle w:val="null3"/>
                    <w:numPr>
                      <w:ilvl w:val="0"/>
                      <w:numId w:val="1"/>
                    </w:numPr>
                    <w:jc w:val="both"/>
                  </w:pPr>
                  <w:r>
                    <w:rPr>
                      <w:rFonts w:ascii="仿宋_GB2312" w:hAnsi="仿宋_GB2312" w:cs="仿宋_GB2312" w:eastAsia="仿宋_GB2312"/>
                      <w:sz w:val="21"/>
                    </w:rPr>
                    <w:t>具备气密性自动检测功能；</w:t>
                  </w:r>
                </w:p>
                <w:p>
                  <w:pPr>
                    <w:pStyle w:val="null3"/>
                    <w:numPr>
                      <w:ilvl w:val="0"/>
                      <w:numId w:val="1"/>
                    </w:numPr>
                    <w:jc w:val="both"/>
                  </w:pPr>
                  <w:r>
                    <w:rPr>
                      <w:rFonts w:ascii="仿宋_GB2312" w:hAnsi="仿宋_GB2312" w:cs="仿宋_GB2312" w:eastAsia="仿宋_GB2312"/>
                      <w:sz w:val="21"/>
                    </w:rPr>
                    <w:t>采样结束后自动清洗气路；</w:t>
                  </w:r>
                </w:p>
                <w:p>
                  <w:pPr>
                    <w:pStyle w:val="null3"/>
                    <w:numPr>
                      <w:ilvl w:val="0"/>
                      <w:numId w:val="1"/>
                    </w:numPr>
                    <w:jc w:val="both"/>
                  </w:pPr>
                  <w:r>
                    <w:rPr>
                      <w:rFonts w:ascii="仿宋_GB2312" w:hAnsi="仿宋_GB2312" w:cs="仿宋_GB2312" w:eastAsia="仿宋_GB2312"/>
                      <w:sz w:val="21"/>
                    </w:rPr>
                    <w:t>具备关机自动吹扫功能；</w:t>
                  </w:r>
                </w:p>
                <w:p>
                  <w:pPr>
                    <w:pStyle w:val="null3"/>
                    <w:numPr>
                      <w:ilvl w:val="0"/>
                      <w:numId w:val="1"/>
                    </w:numPr>
                    <w:jc w:val="both"/>
                  </w:pPr>
                  <w:r>
                    <w:rPr>
                      <w:rFonts w:ascii="仿宋_GB2312" w:hAnsi="仿宋_GB2312" w:cs="仿宋_GB2312" w:eastAsia="仿宋_GB2312"/>
                      <w:sz w:val="21"/>
                    </w:rPr>
                    <w:t>可设置单次测量时间和测量次数，方便与在线仪器的比对，可设置周期次数和间隔时间，满足长时间无人值守测试；</w:t>
                  </w:r>
                </w:p>
                <w:p>
                  <w:pPr>
                    <w:pStyle w:val="null3"/>
                    <w:numPr>
                      <w:ilvl w:val="0"/>
                      <w:numId w:val="1"/>
                    </w:numPr>
                    <w:jc w:val="both"/>
                  </w:pPr>
                  <w:r>
                    <w:rPr>
                      <w:rFonts w:ascii="仿宋_GB2312" w:hAnsi="仿宋_GB2312" w:cs="仿宋_GB2312" w:eastAsia="仿宋_GB2312"/>
                      <w:sz w:val="21"/>
                    </w:rPr>
                    <w:t>具备质量浓度（</w:t>
                  </w:r>
                  <w:r>
                    <w:rPr>
                      <w:rFonts w:ascii="仿宋_GB2312" w:hAnsi="仿宋_GB2312" w:cs="仿宋_GB2312" w:eastAsia="仿宋_GB2312"/>
                      <w:sz w:val="21"/>
                    </w:rPr>
                    <w:t>mg/m</w:t>
                  </w:r>
                  <w:r>
                    <w:rPr>
                      <w:rFonts w:ascii="仿宋_GB2312" w:hAnsi="仿宋_GB2312" w:cs="仿宋_GB2312" w:eastAsia="仿宋_GB2312"/>
                      <w:sz w:val="21"/>
                      <w:vertAlign w:val="superscript"/>
                    </w:rPr>
                    <w:t>3</w:t>
                  </w:r>
                  <w:r>
                    <w:rPr>
                      <w:rFonts w:ascii="仿宋_GB2312" w:hAnsi="仿宋_GB2312" w:cs="仿宋_GB2312" w:eastAsia="仿宋_GB2312"/>
                      <w:sz w:val="21"/>
                    </w:rPr>
                    <w:t>）和体积浓度（</w:t>
                  </w:r>
                  <w:r>
                    <w:rPr>
                      <w:rFonts w:ascii="仿宋_GB2312" w:hAnsi="仿宋_GB2312" w:cs="仿宋_GB2312" w:eastAsia="仿宋_GB2312"/>
                      <w:sz w:val="21"/>
                    </w:rPr>
                    <w:t>μmol/mol）单位切换功能；</w:t>
                  </w:r>
                </w:p>
                <w:p>
                  <w:pPr>
                    <w:pStyle w:val="null3"/>
                    <w:numPr>
                      <w:ilvl w:val="0"/>
                      <w:numId w:val="1"/>
                    </w:numPr>
                    <w:jc w:val="both"/>
                  </w:pPr>
                  <w:r>
                    <w:rPr>
                      <w:rFonts w:ascii="仿宋_GB2312" w:hAnsi="仿宋_GB2312" w:cs="仿宋_GB2312" w:eastAsia="仿宋_GB2312"/>
                      <w:sz w:val="21"/>
                    </w:rPr>
                    <w:t>可查看、存储、导出光谱数据，方便维护；</w:t>
                  </w:r>
                </w:p>
                <w:p>
                  <w:pPr>
                    <w:pStyle w:val="null3"/>
                    <w:numPr>
                      <w:ilvl w:val="0"/>
                      <w:numId w:val="1"/>
                    </w:numPr>
                    <w:jc w:val="both"/>
                  </w:pPr>
                  <w:r>
                    <w:rPr>
                      <w:rFonts w:ascii="仿宋_GB2312" w:hAnsi="仿宋_GB2312" w:cs="仿宋_GB2312" w:eastAsia="仿宋_GB2312"/>
                      <w:sz w:val="21"/>
                    </w:rPr>
                    <w:t>采用半导体高效制冷除水，避免</w:t>
                  </w:r>
                  <w:r>
                    <w:rPr>
                      <w:rFonts w:ascii="仿宋_GB2312" w:hAnsi="仿宋_GB2312" w:cs="仿宋_GB2312" w:eastAsia="仿宋_GB2312"/>
                      <w:sz w:val="21"/>
                    </w:rPr>
                    <w:t>O</w:t>
                  </w:r>
                  <w:r>
                    <w:rPr>
                      <w:rFonts w:ascii="仿宋_GB2312" w:hAnsi="仿宋_GB2312" w:cs="仿宋_GB2312" w:eastAsia="仿宋_GB2312"/>
                      <w:sz w:val="21"/>
                      <w:vertAlign w:val="subscript"/>
                    </w:rPr>
                    <w:t>2</w:t>
                  </w:r>
                  <w:r>
                    <w:rPr>
                      <w:rFonts w:ascii="仿宋_GB2312" w:hAnsi="仿宋_GB2312" w:cs="仿宋_GB2312" w:eastAsia="仿宋_GB2312"/>
                      <w:sz w:val="21"/>
                    </w:rPr>
                    <w:t>等传感器受水汽影响损坏；</w:t>
                  </w:r>
                </w:p>
                <w:p>
                  <w:pPr>
                    <w:pStyle w:val="null3"/>
                    <w:numPr>
                      <w:ilvl w:val="0"/>
                      <w:numId w:val="1"/>
                    </w:numPr>
                    <w:jc w:val="both"/>
                  </w:pPr>
                  <w:r>
                    <w:rPr>
                      <w:rFonts w:ascii="仿宋_GB2312" w:hAnsi="仿宋_GB2312" w:cs="仿宋_GB2312" w:eastAsia="仿宋_GB2312"/>
                      <w:sz w:val="21"/>
                    </w:rPr>
                    <w:t>具备自动排水功能；</w:t>
                  </w:r>
                </w:p>
                <w:p>
                  <w:pPr>
                    <w:pStyle w:val="null3"/>
                    <w:numPr>
                      <w:ilvl w:val="0"/>
                      <w:numId w:val="1"/>
                    </w:numPr>
                    <w:jc w:val="both"/>
                  </w:pPr>
                  <w:r>
                    <w:rPr>
                      <w:rFonts w:ascii="仿宋_GB2312" w:hAnsi="仿宋_GB2312" w:cs="仿宋_GB2312" w:eastAsia="仿宋_GB2312"/>
                      <w:sz w:val="21"/>
                    </w:rPr>
                    <w:t>内置可更换锂电池，独立电池舱门，可进行锂电池现场更换</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测量数据自动生成二维码，扫码即可实现数据导出；</w:t>
                  </w:r>
                </w:p>
                <w:p>
                  <w:pPr>
                    <w:pStyle w:val="null3"/>
                    <w:numPr>
                      <w:ilvl w:val="0"/>
                      <w:numId w:val="1"/>
                    </w:numPr>
                    <w:jc w:val="both"/>
                  </w:pPr>
                  <w:r>
                    <w:rPr>
                      <w:rFonts w:ascii="仿宋_GB2312" w:hAnsi="仿宋_GB2312" w:cs="仿宋_GB2312" w:eastAsia="仿宋_GB2312"/>
                      <w:sz w:val="21"/>
                    </w:rPr>
                    <w:t>采用一体化设计，集取样、除尘、除水、分析于一体；</w:t>
                  </w:r>
                </w:p>
                <w:p>
                  <w:pPr>
                    <w:pStyle w:val="null3"/>
                    <w:numPr>
                      <w:ilvl w:val="0"/>
                      <w:numId w:val="1"/>
                    </w:numPr>
                    <w:jc w:val="both"/>
                  </w:pPr>
                  <w:r>
                    <w:rPr>
                      <w:rFonts w:ascii="仿宋_GB2312" w:hAnsi="仿宋_GB2312" w:cs="仿宋_GB2312" w:eastAsia="仿宋_GB2312"/>
                      <w:sz w:val="21"/>
                    </w:rPr>
                    <w:t>配耐高温延长管；</w:t>
                  </w:r>
                </w:p>
                <w:p>
                  <w:pPr>
                    <w:pStyle w:val="null3"/>
                    <w:numPr>
                      <w:ilvl w:val="0"/>
                      <w:numId w:val="1"/>
                    </w:numPr>
                    <w:jc w:val="both"/>
                  </w:pPr>
                  <w:r>
                    <w:rPr>
                      <w:rFonts w:ascii="仿宋_GB2312" w:hAnsi="仿宋_GB2312" w:cs="仿宋_GB2312" w:eastAsia="仿宋_GB2312"/>
                      <w:sz w:val="21"/>
                    </w:rPr>
                    <w:t>采用真空取样管，可有效隔热；</w:t>
                  </w:r>
                </w:p>
                <w:p>
                  <w:pPr>
                    <w:pStyle w:val="null3"/>
                    <w:numPr>
                      <w:ilvl w:val="0"/>
                      <w:numId w:val="1"/>
                    </w:numPr>
                    <w:jc w:val="both"/>
                  </w:pPr>
                  <w:r>
                    <w:rPr>
                      <w:rFonts w:ascii="仿宋_GB2312" w:hAnsi="仿宋_GB2312" w:cs="仿宋_GB2312" w:eastAsia="仿宋_GB2312"/>
                      <w:sz w:val="21"/>
                    </w:rPr>
                    <w:t>气室内置气幕保护功能，有效避免污染；</w:t>
                  </w:r>
                </w:p>
                <w:p>
                  <w:pPr>
                    <w:pStyle w:val="null3"/>
                    <w:numPr>
                      <w:ilvl w:val="0"/>
                      <w:numId w:val="1"/>
                    </w:numPr>
                    <w:jc w:val="both"/>
                  </w:pPr>
                  <w:r>
                    <w:rPr>
                      <w:rFonts w:ascii="仿宋_GB2312" w:hAnsi="仿宋_GB2312" w:cs="仿宋_GB2312" w:eastAsia="仿宋_GB2312"/>
                      <w:sz w:val="21"/>
                    </w:rPr>
                    <w:t>光学气室应采用可拆卸易插拔设计，整个气室可独立取出，便于进行现场维护保养；</w:t>
                  </w:r>
                </w:p>
                <w:p>
                  <w:pPr>
                    <w:pStyle w:val="null3"/>
                    <w:numPr>
                      <w:ilvl w:val="0"/>
                      <w:numId w:val="1"/>
                    </w:numPr>
                    <w:jc w:val="both"/>
                  </w:pPr>
                  <w:r>
                    <w:rPr>
                      <w:rFonts w:ascii="仿宋_GB2312" w:hAnsi="仿宋_GB2312" w:cs="仿宋_GB2312" w:eastAsia="仿宋_GB2312"/>
                      <w:sz w:val="21"/>
                    </w:rPr>
                    <w:t>具备可拆卸电化学传感器舱门，方便在不拆机壳情况下，进行电化学传感器的维护和更换；</w:t>
                  </w:r>
                </w:p>
                <w:p>
                  <w:pPr>
                    <w:pStyle w:val="null3"/>
                    <w:numPr>
                      <w:ilvl w:val="0"/>
                      <w:numId w:val="1"/>
                    </w:numPr>
                    <w:jc w:val="both"/>
                  </w:pPr>
                  <w:r>
                    <w:rPr>
                      <w:rFonts w:ascii="仿宋_GB2312" w:hAnsi="仿宋_GB2312" w:cs="仿宋_GB2312" w:eastAsia="仿宋_GB2312"/>
                      <w:sz w:val="21"/>
                    </w:rPr>
                    <w:t>配置触摸屏手操器，可无线操控仪器；</w:t>
                  </w:r>
                </w:p>
                <w:p>
                  <w:pPr>
                    <w:pStyle w:val="null3"/>
                    <w:numPr>
                      <w:ilvl w:val="0"/>
                      <w:numId w:val="1"/>
                    </w:numPr>
                    <w:jc w:val="both"/>
                  </w:pPr>
                  <w:r>
                    <w:rPr>
                      <w:rFonts w:ascii="仿宋_GB2312" w:hAnsi="仿宋_GB2312" w:cs="仿宋_GB2312" w:eastAsia="仿宋_GB2312"/>
                      <w:sz w:val="21"/>
                    </w:rPr>
                    <w:t>主机具备物理快捷按键；</w:t>
                  </w:r>
                </w:p>
                <w:p>
                  <w:pPr>
                    <w:pStyle w:val="null3"/>
                    <w:numPr>
                      <w:ilvl w:val="0"/>
                      <w:numId w:val="1"/>
                    </w:numPr>
                    <w:jc w:val="both"/>
                  </w:pPr>
                  <w:r>
                    <w:rPr>
                      <w:rFonts w:ascii="仿宋_GB2312" w:hAnsi="仿宋_GB2312" w:cs="仿宋_GB2312" w:eastAsia="仿宋_GB2312"/>
                      <w:sz w:val="21"/>
                    </w:rPr>
                    <w:t>采样地点等信息支持中、英文输入；</w:t>
                  </w:r>
                </w:p>
                <w:p>
                  <w:pPr>
                    <w:pStyle w:val="null3"/>
                    <w:numPr>
                      <w:ilvl w:val="0"/>
                      <w:numId w:val="1"/>
                    </w:numPr>
                    <w:jc w:val="both"/>
                  </w:pPr>
                  <w:r>
                    <w:rPr>
                      <w:rFonts w:ascii="仿宋_GB2312" w:hAnsi="仿宋_GB2312" w:cs="仿宋_GB2312" w:eastAsia="仿宋_GB2312"/>
                      <w:sz w:val="21"/>
                    </w:rPr>
                    <w:t>具备仪器故障检测与报警功能；</w:t>
                  </w:r>
                </w:p>
                <w:p>
                  <w:pPr>
                    <w:pStyle w:val="null3"/>
                    <w:numPr>
                      <w:ilvl w:val="0"/>
                      <w:numId w:val="1"/>
                    </w:numPr>
                    <w:jc w:val="both"/>
                  </w:pPr>
                  <w:r>
                    <w:rPr>
                      <w:rFonts w:ascii="仿宋_GB2312" w:hAnsi="仿宋_GB2312" w:cs="仿宋_GB2312" w:eastAsia="仿宋_GB2312"/>
                      <w:sz w:val="21"/>
                    </w:rPr>
                    <w:t>外壳防护等级不低于</w:t>
                  </w:r>
                  <w:r>
                    <w:rPr>
                      <w:rFonts w:ascii="仿宋_GB2312" w:hAnsi="仿宋_GB2312" w:cs="仿宋_GB2312" w:eastAsia="仿宋_GB2312"/>
                      <w:sz w:val="21"/>
                    </w:rPr>
                    <w:t>IP56。</w:t>
                  </w:r>
                </w:p>
                <w:p>
                  <w:pPr>
                    <w:pStyle w:val="null3"/>
                    <w:ind w:right="315"/>
                  </w:pPr>
                  <w:r>
                    <w:rPr>
                      <w:rFonts w:ascii="仿宋_GB2312" w:hAnsi="仿宋_GB2312" w:cs="仿宋_GB2312" w:eastAsia="仿宋_GB2312"/>
                      <w:sz w:val="28"/>
                      <w:b/>
                    </w:rPr>
                    <w:t>2.</w:t>
                  </w:r>
                  <w:r>
                    <w:rPr>
                      <w:rFonts w:ascii="仿宋_GB2312" w:hAnsi="仿宋_GB2312" w:cs="仿宋_GB2312" w:eastAsia="仿宋_GB2312"/>
                      <w:sz w:val="28"/>
                      <w:b/>
                    </w:rPr>
                    <w:t>技术参数要求</w:t>
                  </w:r>
                </w:p>
                <w:tbl>
                  <w:tblPr>
                    <w:tblBorders>
                      <w:top w:val="none" w:color="000000" w:sz="4"/>
                      <w:left w:val="none" w:color="000000" w:sz="4"/>
                      <w:bottom w:val="none" w:color="000000" w:sz="4"/>
                      <w:right w:val="none" w:color="000000" w:sz="4"/>
                      <w:insideH w:val="none"/>
                      <w:insideV w:val="none"/>
                    </w:tblBorders>
                  </w:tblPr>
                  <w:tblGrid>
                    <w:gridCol w:w="102"/>
                    <w:gridCol w:w="180"/>
                    <w:gridCol w:w="422"/>
                    <w:gridCol w:w="295"/>
                    <w:gridCol w:w="368"/>
                  </w:tblGrid>
                  <w:tr>
                    <w:tc>
                      <w:tcPr>
                        <w:tcW w:type="dxa" w:w="2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主要参数</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参数范围</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分辨率</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准确度</w:t>
                        </w:r>
                      </w:p>
                    </w:tc>
                  </w:tr>
                  <w:tr>
                    <w:tc>
                      <w:tcPr>
                        <w:tcW w:type="dxa" w:w="2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烟气温度</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0～500）℃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0.1℃</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不超过</w:t>
                        </w:r>
                        <w:r>
                          <w:rPr>
                            <w:rFonts w:ascii="仿宋_GB2312" w:hAnsi="仿宋_GB2312" w:cs="仿宋_GB2312" w:eastAsia="仿宋_GB2312"/>
                            <w:sz w:val="28"/>
                          </w:rPr>
                          <w:t>±3℃</w:t>
                        </w:r>
                      </w:p>
                    </w:tc>
                  </w:tr>
                  <w:tr>
                    <w:tc>
                      <w:tcPr>
                        <w:tcW w:type="dxa" w:w="2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烟气动压</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0～2000）Pa</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1Pa</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不超过</w:t>
                        </w:r>
                        <w:r>
                          <w:rPr>
                            <w:rFonts w:ascii="仿宋_GB2312" w:hAnsi="仿宋_GB2312" w:cs="仿宋_GB2312" w:eastAsia="仿宋_GB2312"/>
                            <w:sz w:val="28"/>
                          </w:rPr>
                          <w:t>±2%FS</w:t>
                        </w:r>
                      </w:p>
                    </w:tc>
                  </w:tr>
                  <w:tr>
                    <w:tc>
                      <w:tcPr>
                        <w:tcW w:type="dxa" w:w="2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烟气静压</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-30～＋30）kPa</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0.01kPa</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不超过</w:t>
                        </w:r>
                        <w:r>
                          <w:rPr>
                            <w:rFonts w:ascii="仿宋_GB2312" w:hAnsi="仿宋_GB2312" w:cs="仿宋_GB2312" w:eastAsia="仿宋_GB2312"/>
                            <w:sz w:val="28"/>
                          </w:rPr>
                          <w:t>±2%FS</w:t>
                        </w:r>
                      </w:p>
                    </w:tc>
                  </w:tr>
                  <w:tr>
                    <w:tc>
                      <w:tcPr>
                        <w:tcW w:type="dxa" w:w="2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大气压</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60～130）kPa</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0.01kPa</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不超过</w:t>
                        </w:r>
                        <w:r>
                          <w:rPr>
                            <w:rFonts w:ascii="仿宋_GB2312" w:hAnsi="仿宋_GB2312" w:cs="仿宋_GB2312" w:eastAsia="仿宋_GB2312"/>
                            <w:sz w:val="28"/>
                          </w:rPr>
                          <w:t>±5%</w:t>
                        </w:r>
                      </w:p>
                    </w:tc>
                  </w:tr>
                  <w:tr>
                    <w:tc>
                      <w:tcPr>
                        <w:tcW w:type="dxa" w:w="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烟</w:t>
                        </w:r>
                      </w:p>
                      <w:p>
                        <w:pPr>
                          <w:pStyle w:val="null3"/>
                          <w:jc w:val="center"/>
                        </w:pPr>
                        <w:r>
                          <w:rPr>
                            <w:rFonts w:ascii="仿宋_GB2312" w:hAnsi="仿宋_GB2312" w:cs="仿宋_GB2312" w:eastAsia="仿宋_GB2312"/>
                            <w:sz w:val="28"/>
                          </w:rPr>
                          <w:t>气</w:t>
                        </w:r>
                      </w:p>
                      <w:p>
                        <w:pPr>
                          <w:pStyle w:val="null3"/>
                          <w:jc w:val="center"/>
                        </w:pPr>
                        <w:r>
                          <w:rPr>
                            <w:rFonts w:ascii="仿宋_GB2312" w:hAnsi="仿宋_GB2312" w:cs="仿宋_GB2312" w:eastAsia="仿宋_GB2312"/>
                            <w:sz w:val="28"/>
                          </w:rPr>
                          <w:t>浓</w:t>
                        </w:r>
                      </w:p>
                      <w:p>
                        <w:pPr>
                          <w:pStyle w:val="null3"/>
                          <w:jc w:val="center"/>
                        </w:pPr>
                        <w:r>
                          <w:rPr>
                            <w:rFonts w:ascii="仿宋_GB2312" w:hAnsi="仿宋_GB2312" w:cs="仿宋_GB2312" w:eastAsia="仿宋_GB2312"/>
                            <w:sz w:val="28"/>
                          </w:rPr>
                          <w:t>度</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SO</w:t>
                        </w:r>
                        <w:r>
                          <w:rPr>
                            <w:rFonts w:ascii="仿宋_GB2312" w:hAnsi="仿宋_GB2312" w:cs="仿宋_GB2312" w:eastAsia="仿宋_GB2312"/>
                            <w:sz w:val="28"/>
                            <w:vertAlign w:val="subscript"/>
                          </w:rPr>
                          <w:t>2</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低量程：（</w:t>
                        </w:r>
                        <w:r>
                          <w:rPr>
                            <w:rFonts w:ascii="仿宋_GB2312" w:hAnsi="仿宋_GB2312" w:cs="仿宋_GB2312" w:eastAsia="仿宋_GB2312"/>
                            <w:sz w:val="28"/>
                          </w:rPr>
                          <w:t>0～150）μmol/mol</w:t>
                        </w:r>
                      </w:p>
                      <w:p>
                        <w:pPr>
                          <w:pStyle w:val="null3"/>
                          <w:jc w:val="center"/>
                        </w:pPr>
                        <w:r>
                          <w:rPr>
                            <w:rFonts w:ascii="仿宋_GB2312" w:hAnsi="仿宋_GB2312" w:cs="仿宋_GB2312" w:eastAsia="仿宋_GB2312"/>
                            <w:sz w:val="28"/>
                          </w:rPr>
                          <w:t>或（</w:t>
                        </w:r>
                        <w:r>
                          <w:rPr>
                            <w:rFonts w:ascii="仿宋_GB2312" w:hAnsi="仿宋_GB2312" w:cs="仿宋_GB2312" w:eastAsia="仿宋_GB2312"/>
                            <w:sz w:val="28"/>
                          </w:rPr>
                          <w:t>0~428）mg/m</w:t>
                        </w:r>
                        <w:r>
                          <w:rPr>
                            <w:rFonts w:ascii="仿宋_GB2312" w:hAnsi="仿宋_GB2312" w:cs="仿宋_GB2312" w:eastAsia="仿宋_GB2312"/>
                            <w:sz w:val="28"/>
                            <w:vertAlign w:val="superscript"/>
                          </w:rPr>
                          <w:t>3</w:t>
                        </w:r>
                      </w:p>
                      <w:p>
                        <w:pPr>
                          <w:pStyle w:val="null3"/>
                          <w:jc w:val="center"/>
                        </w:pPr>
                        <w:r>
                          <w:rPr>
                            <w:rFonts w:ascii="仿宋_GB2312" w:hAnsi="仿宋_GB2312" w:cs="仿宋_GB2312" w:eastAsia="仿宋_GB2312"/>
                            <w:sz w:val="28"/>
                          </w:rPr>
                          <w:t>高量程：（</w:t>
                        </w:r>
                        <w:r>
                          <w:rPr>
                            <w:rFonts w:ascii="仿宋_GB2312" w:hAnsi="仿宋_GB2312" w:cs="仿宋_GB2312" w:eastAsia="仿宋_GB2312"/>
                            <w:sz w:val="28"/>
                          </w:rPr>
                          <w:t>0～1500）μmol/mol</w:t>
                        </w:r>
                      </w:p>
                      <w:p>
                        <w:pPr>
                          <w:pStyle w:val="null3"/>
                          <w:jc w:val="center"/>
                        </w:pPr>
                        <w:r>
                          <w:rPr>
                            <w:rFonts w:ascii="仿宋_GB2312" w:hAnsi="仿宋_GB2312" w:cs="仿宋_GB2312" w:eastAsia="仿宋_GB2312"/>
                            <w:sz w:val="28"/>
                          </w:rPr>
                          <w:t>或（</w:t>
                        </w:r>
                        <w:r>
                          <w:rPr>
                            <w:rFonts w:ascii="仿宋_GB2312" w:hAnsi="仿宋_GB2312" w:cs="仿宋_GB2312" w:eastAsia="仿宋_GB2312"/>
                            <w:sz w:val="28"/>
                          </w:rPr>
                          <w:t>0~4285）mg/m</w:t>
                        </w:r>
                        <w:r>
                          <w:rPr>
                            <w:rFonts w:ascii="仿宋_GB2312" w:hAnsi="仿宋_GB2312" w:cs="仿宋_GB2312" w:eastAsia="仿宋_GB2312"/>
                            <w:sz w:val="28"/>
                            <w:vertAlign w:val="superscript"/>
                          </w:rPr>
                          <w:t>3</w:t>
                        </w:r>
                      </w:p>
                    </w:tc>
                    <w:tc>
                      <w:tcPr>
                        <w:tcW w:type="dxa" w:w="2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&gt;1000mg/m</w:t>
                        </w:r>
                        <w:r>
                          <w:rPr>
                            <w:rFonts w:ascii="仿宋_GB2312" w:hAnsi="仿宋_GB2312" w:cs="仿宋_GB2312" w:eastAsia="仿宋_GB2312"/>
                            <w:sz w:val="28"/>
                            <w:vertAlign w:val="superscript"/>
                          </w:rPr>
                          <w:t>3</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分辨率</w:t>
                        </w:r>
                        <w:r>
                          <w:rPr>
                            <w:rFonts w:ascii="仿宋_GB2312" w:hAnsi="仿宋_GB2312" w:cs="仿宋_GB2312" w:eastAsia="仿宋_GB2312"/>
                            <w:sz w:val="28"/>
                          </w:rPr>
                          <w:t>1mg/m</w:t>
                        </w:r>
                        <w:r>
                          <w:rPr>
                            <w:rFonts w:ascii="仿宋_GB2312" w:hAnsi="仿宋_GB2312" w:cs="仿宋_GB2312" w:eastAsia="仿宋_GB2312"/>
                            <w:sz w:val="28"/>
                            <w:vertAlign w:val="superscript"/>
                          </w:rPr>
                          <w:t>3</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≤1000mg/m</w:t>
                        </w:r>
                        <w:r>
                          <w:rPr>
                            <w:rFonts w:ascii="仿宋_GB2312" w:hAnsi="仿宋_GB2312" w:cs="仿宋_GB2312" w:eastAsia="仿宋_GB2312"/>
                            <w:sz w:val="28"/>
                            <w:vertAlign w:val="superscript"/>
                          </w:rPr>
                          <w:t>3</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分辨率</w:t>
                        </w:r>
                        <w:r>
                          <w:rPr>
                            <w:rFonts w:ascii="仿宋_GB2312" w:hAnsi="仿宋_GB2312" w:cs="仿宋_GB2312" w:eastAsia="仿宋_GB2312"/>
                            <w:sz w:val="28"/>
                          </w:rPr>
                          <w:t>0.1mg/m</w:t>
                        </w:r>
                        <w:r>
                          <w:rPr>
                            <w:rFonts w:ascii="仿宋_GB2312" w:hAnsi="仿宋_GB2312" w:cs="仿宋_GB2312" w:eastAsia="仿宋_GB2312"/>
                            <w:sz w:val="28"/>
                            <w:vertAlign w:val="superscript"/>
                          </w:rPr>
                          <w:t>3</w:t>
                        </w:r>
                      </w:p>
                    </w:tc>
                    <w:tc>
                      <w:tcPr>
                        <w:tcW w:type="dxa" w:w="3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不超过</w:t>
                        </w:r>
                        <w:r>
                          <w:rPr>
                            <w:rFonts w:ascii="仿宋_GB2312" w:hAnsi="仿宋_GB2312" w:cs="仿宋_GB2312" w:eastAsia="仿宋_GB2312"/>
                            <w:sz w:val="28"/>
                          </w:rPr>
                          <w:t>±5%；</w:t>
                        </w:r>
                      </w:p>
                    </w:tc>
                  </w:tr>
                  <w:tr>
                    <w:tc>
                      <w:tcPr>
                        <w:tcW w:type="dxa" w:w="102"/>
                        <w:vMerge/>
                        <w:tcBorders>
                          <w:top w:val="single" w:color="000000" w:sz="4"/>
                          <w:left w:val="single" w:color="000000" w:sz="4"/>
                          <w:bottom w:val="single" w:color="000000" w:sz="4"/>
                          <w:right w:val="single" w:color="000000" w:sz="4"/>
                        </w:tcBorders>
                      </w:tcP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NO</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0～1000）μmol/mol</w:t>
                        </w:r>
                      </w:p>
                      <w:p>
                        <w:pPr>
                          <w:pStyle w:val="null3"/>
                          <w:jc w:val="center"/>
                        </w:pPr>
                        <w:r>
                          <w:rPr>
                            <w:rFonts w:ascii="仿宋_GB2312" w:hAnsi="仿宋_GB2312" w:cs="仿宋_GB2312" w:eastAsia="仿宋_GB2312"/>
                            <w:sz w:val="28"/>
                          </w:rPr>
                          <w:t>或（</w:t>
                        </w:r>
                        <w:r>
                          <w:rPr>
                            <w:rFonts w:ascii="仿宋_GB2312" w:hAnsi="仿宋_GB2312" w:cs="仿宋_GB2312" w:eastAsia="仿宋_GB2312"/>
                            <w:sz w:val="28"/>
                          </w:rPr>
                          <w:t>0~1340）mg/m</w:t>
                        </w:r>
                        <w:r>
                          <w:rPr>
                            <w:rFonts w:ascii="仿宋_GB2312" w:hAnsi="仿宋_GB2312" w:cs="仿宋_GB2312" w:eastAsia="仿宋_GB2312"/>
                            <w:sz w:val="28"/>
                            <w:vertAlign w:val="superscript"/>
                          </w:rPr>
                          <w:t>3</w:t>
                        </w:r>
                      </w:p>
                    </w:tc>
                    <w:tc>
                      <w:tcPr>
                        <w:tcW w:type="dxa" w:w="295"/>
                        <w:vMerge/>
                        <w:tcBorders>
                          <w:top w:val="single" w:color="000000" w:sz="4"/>
                          <w:left w:val="single" w:color="000000" w:sz="4"/>
                          <w:bottom w:val="single" w:color="000000" w:sz="4"/>
                          <w:right w:val="single" w:color="000000" w:sz="4"/>
                        </w:tcBorders>
                      </w:tcPr>
                      <w:p/>
                    </w:tc>
                    <w:tc>
                      <w:tcPr>
                        <w:tcW w:type="dxa" w:w="368"/>
                        <w:vMerge/>
                        <w:tcBorders>
                          <w:top w:val="single" w:color="000000" w:sz="4"/>
                          <w:left w:val="single" w:color="000000" w:sz="4"/>
                          <w:bottom w:val="single" w:color="000000" w:sz="4"/>
                          <w:right w:val="single" w:color="000000" w:sz="4"/>
                        </w:tcBorders>
                      </w:tcPr>
                      <w:p/>
                    </w:tc>
                  </w:tr>
                  <w:tr>
                    <w:tc>
                      <w:tcPr>
                        <w:tcW w:type="dxa" w:w="102"/>
                        <w:vMerge/>
                        <w:tcBorders>
                          <w:top w:val="single" w:color="000000" w:sz="4"/>
                          <w:left w:val="single" w:color="000000" w:sz="4"/>
                          <w:bottom w:val="single" w:color="000000" w:sz="4"/>
                          <w:right w:val="single" w:color="000000" w:sz="4"/>
                        </w:tcBorders>
                      </w:tcP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NO</w:t>
                        </w:r>
                        <w:r>
                          <w:rPr>
                            <w:rFonts w:ascii="仿宋_GB2312" w:hAnsi="仿宋_GB2312" w:cs="仿宋_GB2312" w:eastAsia="仿宋_GB2312"/>
                            <w:sz w:val="28"/>
                            <w:vertAlign w:val="subscript"/>
                          </w:rPr>
                          <w:t>2</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0～500）μmol/mol</w:t>
                        </w:r>
                      </w:p>
                      <w:p>
                        <w:pPr>
                          <w:pStyle w:val="null3"/>
                          <w:jc w:val="center"/>
                        </w:pPr>
                        <w:r>
                          <w:rPr>
                            <w:rFonts w:ascii="仿宋_GB2312" w:hAnsi="仿宋_GB2312" w:cs="仿宋_GB2312" w:eastAsia="仿宋_GB2312"/>
                            <w:sz w:val="28"/>
                          </w:rPr>
                          <w:t>或（</w:t>
                        </w:r>
                        <w:r>
                          <w:rPr>
                            <w:rFonts w:ascii="仿宋_GB2312" w:hAnsi="仿宋_GB2312" w:cs="仿宋_GB2312" w:eastAsia="仿宋_GB2312"/>
                            <w:sz w:val="28"/>
                          </w:rPr>
                          <w:t>0~1026）mg/m</w:t>
                        </w:r>
                        <w:r>
                          <w:rPr>
                            <w:rFonts w:ascii="仿宋_GB2312" w:hAnsi="仿宋_GB2312" w:cs="仿宋_GB2312" w:eastAsia="仿宋_GB2312"/>
                            <w:sz w:val="28"/>
                            <w:vertAlign w:val="superscript"/>
                          </w:rPr>
                          <w:t>3</w:t>
                        </w:r>
                      </w:p>
                    </w:tc>
                    <w:tc>
                      <w:tcPr>
                        <w:tcW w:type="dxa" w:w="295"/>
                        <w:vMerge/>
                        <w:tcBorders>
                          <w:top w:val="single" w:color="000000" w:sz="4"/>
                          <w:left w:val="single" w:color="000000" w:sz="4"/>
                          <w:bottom w:val="single" w:color="000000" w:sz="4"/>
                          <w:right w:val="single" w:color="000000" w:sz="4"/>
                        </w:tcBorders>
                      </w:tcPr>
                      <w:p/>
                    </w:tc>
                    <w:tc>
                      <w:tcPr>
                        <w:tcW w:type="dxa" w:w="368"/>
                        <w:vMerge/>
                        <w:tcBorders>
                          <w:top w:val="single" w:color="000000" w:sz="4"/>
                          <w:left w:val="single" w:color="000000" w:sz="4"/>
                          <w:bottom w:val="single" w:color="000000" w:sz="4"/>
                          <w:right w:val="single" w:color="000000" w:sz="4"/>
                        </w:tcBorders>
                      </w:tcPr>
                      <w:p/>
                    </w:tc>
                  </w:tr>
                  <w:tr>
                    <w:tc>
                      <w:tcPr>
                        <w:tcW w:type="dxa" w:w="102"/>
                        <w:vMerge/>
                        <w:tcBorders>
                          <w:top w:val="single" w:color="000000" w:sz="4"/>
                          <w:left w:val="single" w:color="000000" w:sz="4"/>
                          <w:bottom w:val="single" w:color="000000" w:sz="4"/>
                          <w:right w:val="single" w:color="000000" w:sz="4"/>
                        </w:tcBorders>
                      </w:tcP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O</w:t>
                        </w:r>
                        <w:r>
                          <w:rPr>
                            <w:rFonts w:ascii="仿宋_GB2312" w:hAnsi="仿宋_GB2312" w:cs="仿宋_GB2312" w:eastAsia="仿宋_GB2312"/>
                            <w:sz w:val="28"/>
                            <w:vertAlign w:val="subscript"/>
                          </w:rPr>
                          <w:t>2</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(0～30)%</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0.01%</w:t>
                        </w:r>
                      </w:p>
                    </w:tc>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不超过</w:t>
                        </w:r>
                        <w:r>
                          <w:rPr>
                            <w:rFonts w:ascii="仿宋_GB2312" w:hAnsi="仿宋_GB2312" w:cs="仿宋_GB2312" w:eastAsia="仿宋_GB2312"/>
                            <w:sz w:val="28"/>
                          </w:rPr>
                          <w:t>±5％</w:t>
                        </w:r>
                      </w:p>
                    </w:tc>
                  </w:tr>
                  <w:tr>
                    <w:tc>
                      <w:tcPr>
                        <w:tcW w:type="dxa" w:w="102"/>
                        <w:vMerge/>
                        <w:tcBorders>
                          <w:top w:val="single" w:color="000000" w:sz="4"/>
                          <w:left w:val="single" w:color="000000" w:sz="4"/>
                          <w:bottom w:val="single" w:color="000000" w:sz="4"/>
                          <w:right w:val="single" w:color="000000" w:sz="4"/>
                        </w:tcBorders>
                      </w:tcP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NH</w:t>
                        </w:r>
                        <w:r>
                          <w:rPr>
                            <w:rFonts w:ascii="仿宋_GB2312" w:hAnsi="仿宋_GB2312" w:cs="仿宋_GB2312" w:eastAsia="仿宋_GB2312"/>
                            <w:sz w:val="28"/>
                            <w:vertAlign w:val="subscript"/>
                          </w:rPr>
                          <w:t>3</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0～263）μmol/mol</w:t>
                        </w:r>
                      </w:p>
                      <w:p>
                        <w:pPr>
                          <w:pStyle w:val="null3"/>
                          <w:jc w:val="center"/>
                        </w:pPr>
                        <w:r>
                          <w:rPr>
                            <w:rFonts w:ascii="仿宋_GB2312" w:hAnsi="仿宋_GB2312" w:cs="仿宋_GB2312" w:eastAsia="仿宋_GB2312"/>
                            <w:sz w:val="28"/>
                          </w:rPr>
                          <w:t>或（</w:t>
                        </w:r>
                        <w:r>
                          <w:rPr>
                            <w:rFonts w:ascii="仿宋_GB2312" w:hAnsi="仿宋_GB2312" w:cs="仿宋_GB2312" w:eastAsia="仿宋_GB2312"/>
                            <w:sz w:val="28"/>
                          </w:rPr>
                          <w:t>0~200）mg/m</w:t>
                        </w:r>
                        <w:r>
                          <w:rPr>
                            <w:rFonts w:ascii="仿宋_GB2312" w:hAnsi="仿宋_GB2312" w:cs="仿宋_GB2312" w:eastAsia="仿宋_GB2312"/>
                            <w:sz w:val="28"/>
                            <w:vertAlign w:val="superscript"/>
                          </w:rPr>
                          <w:t>3</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0.1 mg/m</w:t>
                        </w:r>
                        <w:r>
                          <w:rPr>
                            <w:rFonts w:ascii="仿宋_GB2312" w:hAnsi="仿宋_GB2312" w:cs="仿宋_GB2312" w:eastAsia="仿宋_GB2312"/>
                            <w:sz w:val="28"/>
                            <w:vertAlign w:val="superscript"/>
                          </w:rPr>
                          <w:t>3</w:t>
                        </w:r>
                      </w:p>
                    </w:tc>
                    <w:tc>
                      <w:tcPr>
                        <w:tcW w:type="dxa" w:w="368"/>
                        <w:vMerge/>
                        <w:tcBorders>
                          <w:top w:val="none" w:color="000000" w:sz="4"/>
                          <w:left w:val="single" w:color="000000" w:sz="4"/>
                          <w:bottom w:val="single" w:color="000000" w:sz="4"/>
                          <w:right w:val="single" w:color="000000" w:sz="4"/>
                        </w:tcBorders>
                      </w:tcPr>
                      <w:p/>
                    </w:tc>
                  </w:tr>
                  <w:tr>
                    <w:tc>
                      <w:tcPr>
                        <w:tcW w:type="dxa" w:w="102"/>
                        <w:vMerge/>
                        <w:tcBorders>
                          <w:top w:val="single" w:color="000000" w:sz="4"/>
                          <w:left w:val="single" w:color="000000" w:sz="4"/>
                          <w:bottom w:val="single" w:color="000000" w:sz="4"/>
                          <w:right w:val="single" w:color="000000" w:sz="4"/>
                        </w:tcBorders>
                      </w:tcP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烟气湿度（体积百分比）</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0~40）%</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0.01%</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≤5%时，绝对误差不超过±0.75%</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5%时，相对误差不超过15%</w:t>
                        </w:r>
                      </w:p>
                    </w:tc>
                  </w:tr>
                  <w:tr>
                    <w:tc>
                      <w:tcPr>
                        <w:tcW w:type="dxa" w:w="2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延长管长度</w:t>
                        </w:r>
                      </w:p>
                    </w:tc>
                    <w:tc>
                      <w:tcPr>
                        <w:tcW w:type="dxa" w:w="108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0.5m</w:t>
                        </w:r>
                      </w:p>
                    </w:tc>
                  </w:tr>
                  <w:tr>
                    <w:tc>
                      <w:tcPr>
                        <w:tcW w:type="dxa" w:w="2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电池容量</w:t>
                        </w:r>
                      </w:p>
                    </w:tc>
                    <w:tc>
                      <w:tcPr>
                        <w:tcW w:type="dxa" w:w="108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不小于</w:t>
                        </w:r>
                        <w:r>
                          <w:rPr>
                            <w:rFonts w:ascii="仿宋_GB2312" w:hAnsi="仿宋_GB2312" w:cs="仿宋_GB2312" w:eastAsia="仿宋_GB2312"/>
                            <w:sz w:val="28"/>
                          </w:rPr>
                          <w:t>5Ah</w:t>
                        </w:r>
                      </w:p>
                    </w:tc>
                  </w:tr>
                  <w:tr>
                    <w:tc>
                      <w:tcPr>
                        <w:tcW w:type="dxa" w:w="282"/>
                        <w:gridSpan w:val="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主机重量</w:t>
                        </w:r>
                      </w:p>
                    </w:tc>
                    <w:tc>
                      <w:tcPr>
                        <w:tcW w:type="dxa" w:w="1085"/>
                        <w:gridSpan w:val="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不大于</w:t>
                        </w:r>
                        <w:r>
                          <w:rPr>
                            <w:rFonts w:ascii="仿宋_GB2312" w:hAnsi="仿宋_GB2312" w:cs="仿宋_GB2312" w:eastAsia="仿宋_GB2312"/>
                            <w:sz w:val="28"/>
                          </w:rPr>
                          <w:t>6.0kg</w:t>
                        </w:r>
                      </w:p>
                    </w:tc>
                  </w:tr>
                </w:tbl>
                <w:p>
                  <w:pPr>
                    <w:pStyle w:val="null3"/>
                    <w:jc w:val="center"/>
                  </w:pPr>
                </w:p>
              </w:tc>
              <w:tc>
                <w:tcPr>
                  <w:tcW w:type="dxa" w:w="3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市支队、</w:t>
                  </w:r>
                  <w:r>
                    <w:rPr>
                      <w:rFonts w:ascii="仿宋_GB2312" w:hAnsi="仿宋_GB2312" w:cs="仿宋_GB2312" w:eastAsia="仿宋_GB2312"/>
                      <w:sz w:val="28"/>
                    </w:rPr>
                    <w:t>1</w:t>
                  </w:r>
                  <w:r>
                    <w:rPr>
                      <w:rFonts w:ascii="仿宋_GB2312" w:hAnsi="仿宋_GB2312" w:cs="仿宋_GB2312" w:eastAsia="仿宋_GB2312"/>
                      <w:sz w:val="28"/>
                    </w:rPr>
                    <w:t>区</w:t>
                  </w:r>
                  <w:r>
                    <w:rPr>
                      <w:rFonts w:ascii="仿宋_GB2312" w:hAnsi="仿宋_GB2312" w:cs="仿宋_GB2312" w:eastAsia="仿宋_GB2312"/>
                      <w:sz w:val="28"/>
                    </w:rPr>
                    <w:t>6</w:t>
                  </w:r>
                  <w:r>
                    <w:rPr>
                      <w:rFonts w:ascii="仿宋_GB2312" w:hAnsi="仿宋_GB2312" w:cs="仿宋_GB2312" w:eastAsia="仿宋_GB2312"/>
                      <w:sz w:val="28"/>
                    </w:rPr>
                    <w:t>县大队各配备</w:t>
                  </w:r>
                  <w:r>
                    <w:rPr>
                      <w:rFonts w:ascii="仿宋_GB2312" w:hAnsi="仿宋_GB2312" w:cs="仿宋_GB2312" w:eastAsia="仿宋_GB2312"/>
                      <w:sz w:val="28"/>
                    </w:rPr>
                    <w:t>1</w:t>
                  </w:r>
                  <w:r>
                    <w:rPr>
                      <w:rFonts w:ascii="仿宋_GB2312" w:hAnsi="仿宋_GB2312" w:cs="仿宋_GB2312" w:eastAsia="仿宋_GB2312"/>
                      <w:sz w:val="28"/>
                    </w:rPr>
                    <w:t>套，目前已有</w:t>
                  </w:r>
                  <w:r>
                    <w:rPr>
                      <w:rFonts w:ascii="仿宋_GB2312" w:hAnsi="仿宋_GB2312" w:cs="仿宋_GB2312" w:eastAsia="仿宋_GB2312"/>
                      <w:sz w:val="28"/>
                    </w:rPr>
                    <w:t>2</w:t>
                  </w:r>
                  <w:r>
                    <w:rPr>
                      <w:rFonts w:ascii="仿宋_GB2312" w:hAnsi="仿宋_GB2312" w:cs="仿宋_GB2312" w:eastAsia="仿宋_GB2312"/>
                      <w:sz w:val="28"/>
                    </w:rPr>
                    <w:t>套</w:t>
                  </w:r>
                  <w:r>
                    <w:rPr>
                      <w:rFonts w:ascii="仿宋_GB2312" w:hAnsi="仿宋_GB2312" w:cs="仿宋_GB2312" w:eastAsia="仿宋_GB2312"/>
                      <w:sz w:val="28"/>
                    </w:rPr>
                    <w:t>，新增</w:t>
                  </w:r>
                  <w:r>
                    <w:rPr>
                      <w:rFonts w:ascii="仿宋_GB2312" w:hAnsi="仿宋_GB2312" w:cs="仿宋_GB2312" w:eastAsia="仿宋_GB2312"/>
                      <w:sz w:val="28"/>
                    </w:rPr>
                    <w:t>6</w:t>
                  </w:r>
                  <w:r>
                    <w:rPr>
                      <w:rFonts w:ascii="仿宋_GB2312" w:hAnsi="仿宋_GB2312" w:cs="仿宋_GB2312" w:eastAsia="仿宋_GB2312"/>
                      <w:sz w:val="28"/>
                    </w:rPr>
                    <w:t>套</w:t>
                  </w: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便携式甲烷非甲烷总烃分析仪</w:t>
                  </w:r>
                </w:p>
              </w:tc>
              <w:tc>
                <w:tcPr>
                  <w:tcW w:type="dxa" w:w="15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right="210"/>
                  </w:pPr>
                  <w:r>
                    <w:rPr>
                      <w:rFonts w:ascii="仿宋_GB2312" w:hAnsi="仿宋_GB2312" w:cs="仿宋_GB2312" w:eastAsia="仿宋_GB2312"/>
                      <w:sz w:val="21"/>
                      <w:b/>
                    </w:rPr>
                    <w:t>便携式甲烷非甲烷总烃分析仪</w:t>
                  </w:r>
                </w:p>
                <w:p>
                  <w:pPr>
                    <w:pStyle w:val="null3"/>
                    <w:ind w:firstLine="420"/>
                    <w:jc w:val="both"/>
                  </w:pPr>
                  <w:r>
                    <w:rPr>
                      <w:rFonts w:ascii="仿宋_GB2312" w:hAnsi="仿宋_GB2312" w:cs="仿宋_GB2312" w:eastAsia="仿宋_GB2312"/>
                      <w:sz w:val="21"/>
                    </w:rPr>
                    <w:t>便携式甲烷非甲烷总烃分析仪监测项目：有组织和无组织污染源总烃、甲烷和非甲烷总烃，可扩展苯、甲苯和二甲苯等特征因子。</w:t>
                  </w:r>
                  <w:r>
                    <w:rPr>
                      <w:rFonts w:ascii="仿宋_GB2312" w:hAnsi="仿宋_GB2312" w:cs="仿宋_GB2312" w:eastAsia="仿宋_GB2312"/>
                      <w:sz w:val="21"/>
                    </w:rPr>
                    <w:t>含</w:t>
                  </w:r>
                  <w:r>
                    <w:rPr>
                      <w:rFonts w:ascii="仿宋_GB2312" w:hAnsi="仿宋_GB2312" w:cs="仿宋_GB2312" w:eastAsia="仿宋_GB2312"/>
                      <w:sz w:val="21"/>
                    </w:rPr>
                    <w:t>分析仪主机及控制软件</w:t>
                  </w:r>
                  <w:r>
                    <w:rPr>
                      <w:rFonts w:ascii="仿宋_GB2312" w:hAnsi="仿宋_GB2312" w:cs="仿宋_GB2312" w:eastAsia="仿宋_GB2312"/>
                      <w:sz w:val="21"/>
                    </w:rPr>
                    <w:t>、</w:t>
                  </w:r>
                  <w:r>
                    <w:rPr>
                      <w:rFonts w:ascii="仿宋_GB2312" w:hAnsi="仿宋_GB2312" w:cs="仿宋_GB2312" w:eastAsia="仿宋_GB2312"/>
                      <w:sz w:val="21"/>
                    </w:rPr>
                    <w:t>氢气发生器</w:t>
                  </w:r>
                  <w:r>
                    <w:rPr>
                      <w:rFonts w:ascii="仿宋_GB2312" w:hAnsi="仿宋_GB2312" w:cs="仿宋_GB2312" w:eastAsia="仿宋_GB2312"/>
                      <w:sz w:val="21"/>
                    </w:rPr>
                    <w:t>、</w:t>
                  </w:r>
                  <w:r>
                    <w:rPr>
                      <w:rFonts w:ascii="仿宋_GB2312" w:hAnsi="仿宋_GB2312" w:cs="仿宋_GB2312" w:eastAsia="仿宋_GB2312"/>
                      <w:sz w:val="21"/>
                    </w:rPr>
                    <w:t>储氢合金</w:t>
                  </w:r>
                  <w:r>
                    <w:rPr>
                      <w:rFonts w:ascii="仿宋_GB2312" w:hAnsi="仿宋_GB2312" w:cs="仿宋_GB2312" w:eastAsia="仿宋_GB2312"/>
                      <w:sz w:val="21"/>
                    </w:rPr>
                    <w:t>、</w:t>
                  </w:r>
                  <w:r>
                    <w:rPr>
                      <w:rFonts w:ascii="仿宋_GB2312" w:hAnsi="仿宋_GB2312" w:cs="仿宋_GB2312" w:eastAsia="仿宋_GB2312"/>
                      <w:sz w:val="21"/>
                    </w:rPr>
                    <w:t>可拆卸电池</w:t>
                  </w:r>
                  <w:r>
                    <w:rPr>
                      <w:rFonts w:ascii="仿宋_GB2312" w:hAnsi="仿宋_GB2312" w:cs="仿宋_GB2312" w:eastAsia="仿宋_GB2312"/>
                      <w:sz w:val="21"/>
                    </w:rPr>
                    <w:t>、</w:t>
                  </w:r>
                  <w:r>
                    <w:rPr>
                      <w:rFonts w:ascii="仿宋_GB2312" w:hAnsi="仿宋_GB2312" w:cs="仿宋_GB2312" w:eastAsia="仿宋_GB2312"/>
                      <w:sz w:val="21"/>
                    </w:rPr>
                    <w:t>电源适配器</w:t>
                  </w:r>
                  <w:r>
                    <w:rPr>
                      <w:rFonts w:ascii="仿宋_GB2312" w:hAnsi="仿宋_GB2312" w:cs="仿宋_GB2312" w:eastAsia="仿宋_GB2312"/>
                      <w:sz w:val="21"/>
                    </w:rPr>
                    <w:t>、</w:t>
                  </w:r>
                  <w:r>
                    <w:rPr>
                      <w:rFonts w:ascii="仿宋_GB2312" w:hAnsi="仿宋_GB2312" w:cs="仿宋_GB2312" w:eastAsia="仿宋_GB2312"/>
                      <w:sz w:val="21"/>
                    </w:rPr>
                    <w:t>温度可调采样伴热管线</w:t>
                  </w:r>
                  <w:r>
                    <w:rPr>
                      <w:rFonts w:ascii="仿宋_GB2312" w:hAnsi="仿宋_GB2312" w:cs="仿宋_GB2312" w:eastAsia="仿宋_GB2312"/>
                      <w:sz w:val="21"/>
                    </w:rPr>
                    <w:t>、</w:t>
                  </w:r>
                  <w:r>
                    <w:rPr>
                      <w:rFonts w:ascii="仿宋_GB2312" w:hAnsi="仿宋_GB2312" w:cs="仿宋_GB2312" w:eastAsia="仿宋_GB2312"/>
                      <w:sz w:val="21"/>
                    </w:rPr>
                    <w:t>便携热敏打印机</w:t>
                  </w:r>
                  <w:r>
                    <w:rPr>
                      <w:rFonts w:ascii="仿宋_GB2312" w:hAnsi="仿宋_GB2312" w:cs="仿宋_GB2312" w:eastAsia="仿宋_GB2312"/>
                      <w:sz w:val="21"/>
                    </w:rPr>
                    <w:t>。</w:t>
                  </w:r>
                </w:p>
                <w:p>
                  <w:pPr>
                    <w:pStyle w:val="null3"/>
                    <w:ind w:right="315"/>
                  </w:pPr>
                  <w:r>
                    <w:rPr>
                      <w:rFonts w:ascii="仿宋_GB2312" w:hAnsi="仿宋_GB2312" w:cs="仿宋_GB2312" w:eastAsia="仿宋_GB2312"/>
                      <w:sz w:val="28"/>
                      <w:b/>
                    </w:rPr>
                    <w:t>1.</w:t>
                  </w:r>
                  <w:r>
                    <w:rPr>
                      <w:rFonts w:ascii="仿宋_GB2312" w:hAnsi="仿宋_GB2312" w:cs="仿宋_GB2312" w:eastAsia="仿宋_GB2312"/>
                      <w:sz w:val="28"/>
                      <w:b/>
                    </w:rPr>
                    <w:t>基本要求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1）监测项目：固定污染源、厂界无组织、环境空气中的总烃、甲烷及非甲烷总烃的测定。检测原理为催化氧化-FID原理。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2）检测器：微型化专用高温FID检测器，能实时自动检测当前FID火焰状态，当检测到火焰熄灭故障状态后发出报警，能自动点火，恢复正常运行。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3）样品采集部位具备加热、保温、过滤功能，加热温度在（0～180）℃可调节，实际温度在仪器中显示。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4）供气方式：分析仪应采用内置固态储合金供氢，氢气存储非高压，以安全的固态金属氢化物形式被存储，应可无工具手拧快速拆卸。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5）FID助燃气：内置高温催化除烃零级空气发生器模块，FID助燃气无需外接钢瓶零级空气。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6）储氢合金充氢方式可选择小型氢气发生器和高压气瓶两种方式，氢气发生器采用电解水原理，重量≤2kg。</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7）高集成度，一体化工业设计，整机（含电池、气瓶）小于9 kg，可双肩、单肩背负使用。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8）分析模式：分析周期支持1-120s可调，根据实际应用需求进行分期周期选择，可实现实时采样，实时响应。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9）高温伴热：全程高温伴热样品传输，可有效避免高沸点、高浓度样品损失。</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10）人机交互：内置彩色触摸显示屏，屏幕尺寸≥5英寸，具有中文数据采集、记录、处理和控制的软件，能进行实时浓度显示、方法选择。参数监控、建准曲线建立等操作。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11）标配便携式打印机，实现数据实时打印</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专业分析软件：软件全中文控制界面，具有具有参数监控、参数设置、历史数据查询等功能；软件应能够显示实时数据，可查询至少</w:t>
                  </w:r>
                  <w:r>
                    <w:rPr>
                      <w:rFonts w:ascii="仿宋_GB2312" w:hAnsi="仿宋_GB2312" w:cs="仿宋_GB2312" w:eastAsia="仿宋_GB2312"/>
                      <w:sz w:val="21"/>
                    </w:rPr>
                    <w:t>365天历史数据；仪器断电故障后，应能自动保存数据；恢复供电后系统可自动启动，恢复运行状态并正常开始工作。</w:t>
                  </w:r>
                </w:p>
                <w:p>
                  <w:pPr>
                    <w:pStyle w:val="null3"/>
                    <w:ind w:right="315"/>
                  </w:pPr>
                  <w:r>
                    <w:rPr>
                      <w:rFonts w:ascii="仿宋_GB2312" w:hAnsi="仿宋_GB2312" w:cs="仿宋_GB2312" w:eastAsia="仿宋_GB2312"/>
                      <w:sz w:val="28"/>
                      <w:b/>
                    </w:rPr>
                    <w:t>2.</w:t>
                  </w:r>
                  <w:r>
                    <w:rPr>
                      <w:rFonts w:ascii="仿宋_GB2312" w:hAnsi="仿宋_GB2312" w:cs="仿宋_GB2312" w:eastAsia="仿宋_GB2312"/>
                      <w:sz w:val="28"/>
                      <w:b/>
                    </w:rPr>
                    <w:t>技术参数</w:t>
                  </w:r>
                  <w:r>
                    <w:rPr>
                      <w:rFonts w:ascii="仿宋_GB2312" w:hAnsi="仿宋_GB2312" w:cs="仿宋_GB2312" w:eastAsia="仿宋_GB2312"/>
                      <w:sz w:val="28"/>
                      <w:b/>
                    </w:rPr>
                    <w:t>要求</w:t>
                  </w:r>
                </w:p>
                <w:tbl>
                  <w:tblPr>
                    <w:tblBorders>
                      <w:top w:val="none" w:color="000000" w:sz="4"/>
                      <w:left w:val="none" w:color="000000" w:sz="4"/>
                      <w:bottom w:val="none" w:color="000000" w:sz="4"/>
                      <w:right w:val="none" w:color="000000" w:sz="4"/>
                      <w:insideH w:val="none"/>
                      <w:insideV w:val="none"/>
                    </w:tblBorders>
                  </w:tblPr>
                  <w:tblGrid>
                    <w:gridCol w:w="164"/>
                    <w:gridCol w:w="315"/>
                    <w:gridCol w:w="888"/>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项目</w:t>
                        </w:r>
                      </w:p>
                    </w:tc>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技术指标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监测因子</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总烃、甲烷、非甲烷总烃</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检出限</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≤0.07 mg/m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（以碳计）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量程</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0-20/200/可定制）mg/m</w:t>
                        </w:r>
                        <w:r>
                          <w:rPr>
                            <w:rFonts w:ascii="仿宋_GB2312" w:hAnsi="仿宋_GB2312" w:cs="仿宋_GB2312" w:eastAsia="仿宋_GB2312"/>
                            <w:sz w:val="28"/>
                            <w:color w:val="000000"/>
                            <w:vertAlign w:val="superscript"/>
                          </w:rPr>
                          <w:t>3</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定量重复性</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线性误差</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 F.S.</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转化效率</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≥98%</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预热时间</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 min</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8）</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供电</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支持电池供电和</w:t>
                        </w:r>
                        <w:r>
                          <w:rPr>
                            <w:rFonts w:ascii="仿宋_GB2312" w:hAnsi="仿宋_GB2312" w:cs="仿宋_GB2312" w:eastAsia="仿宋_GB2312"/>
                            <w:sz w:val="28"/>
                            <w:color w:val="000000"/>
                          </w:rPr>
                          <w:t>220V供电两种形式，电池可快速无工具拆卸，持续使用时间时间≥8h</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9）</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氢气</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标配储氢合金，连续使用时间</w:t>
                        </w:r>
                        <w:r>
                          <w:rPr>
                            <w:rFonts w:ascii="仿宋_GB2312" w:hAnsi="仿宋_GB2312" w:cs="仿宋_GB2312" w:eastAsia="仿宋_GB2312"/>
                            <w:sz w:val="28"/>
                            <w:color w:val="000000"/>
                          </w:rPr>
                          <w:t>≥12h</w:t>
                        </w:r>
                      </w:p>
                    </w:tc>
                  </w:tr>
                </w:tbl>
                <w:p>
                  <w:pPr>
                    <w:pStyle w:val="null3"/>
                    <w:jc w:val="center"/>
                  </w:pPr>
                </w:p>
              </w:tc>
              <w:tc>
                <w:tcPr>
                  <w:tcW w:type="dxa" w:w="3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color w:val="000000"/>
                    </w:rPr>
                    <w:t>8</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8"/>
                    </w:rPr>
                    <w:t>市支队、</w:t>
                  </w:r>
                  <w:r>
                    <w:rPr>
                      <w:rFonts w:ascii="仿宋_GB2312" w:hAnsi="仿宋_GB2312" w:cs="仿宋_GB2312" w:eastAsia="仿宋_GB2312"/>
                      <w:sz w:val="28"/>
                    </w:rPr>
                    <w:t>1</w:t>
                  </w:r>
                  <w:r>
                    <w:rPr>
                      <w:rFonts w:ascii="仿宋_GB2312" w:hAnsi="仿宋_GB2312" w:cs="仿宋_GB2312" w:eastAsia="仿宋_GB2312"/>
                      <w:sz w:val="28"/>
                    </w:rPr>
                    <w:t>区</w:t>
                  </w:r>
                  <w:r>
                    <w:rPr>
                      <w:rFonts w:ascii="仿宋_GB2312" w:hAnsi="仿宋_GB2312" w:cs="仿宋_GB2312" w:eastAsia="仿宋_GB2312"/>
                      <w:sz w:val="28"/>
                    </w:rPr>
                    <w:t>6</w:t>
                  </w:r>
                  <w:r>
                    <w:rPr>
                      <w:rFonts w:ascii="仿宋_GB2312" w:hAnsi="仿宋_GB2312" w:cs="仿宋_GB2312" w:eastAsia="仿宋_GB2312"/>
                      <w:sz w:val="28"/>
                    </w:rPr>
                    <w:t>县大队各配备</w:t>
                  </w:r>
                  <w:r>
                    <w:rPr>
                      <w:rFonts w:ascii="仿宋_GB2312" w:hAnsi="仿宋_GB2312" w:cs="仿宋_GB2312" w:eastAsia="仿宋_GB2312"/>
                      <w:sz w:val="28"/>
                    </w:rPr>
                    <w:t>1</w:t>
                  </w:r>
                  <w:r>
                    <w:rPr>
                      <w:rFonts w:ascii="仿宋_GB2312" w:hAnsi="仿宋_GB2312" w:cs="仿宋_GB2312" w:eastAsia="仿宋_GB2312"/>
                      <w:sz w:val="28"/>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238"/>
              <w:gridCol w:w="210"/>
              <w:gridCol w:w="1367"/>
              <w:gridCol w:w="337"/>
              <w:gridCol w:w="384"/>
            </w:tblGrid>
            <w:tr>
              <w:tc>
                <w:tcPr>
                  <w:tcW w:type="dxa" w:w="23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2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设备名称</w:t>
                  </w:r>
                </w:p>
              </w:tc>
              <w:tc>
                <w:tcPr>
                  <w:tcW w:type="dxa" w:w="13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技术参数</w:t>
                  </w:r>
                </w:p>
              </w:tc>
              <w:tc>
                <w:tcPr>
                  <w:tcW w:type="dxa" w:w="3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数量（套）</w:t>
                  </w:r>
                </w:p>
              </w:tc>
              <w:tc>
                <w:tcPr>
                  <w:tcW w:type="dxa" w:w="38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备注</w:t>
                  </w:r>
                </w:p>
              </w:tc>
            </w:tr>
            <w:tr>
              <w:tc>
                <w:tcPr>
                  <w:tcW w:type="dxa" w:w="2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2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红外热成像气体泄漏检测仪</w:t>
                  </w:r>
                </w:p>
              </w:tc>
              <w:tc>
                <w:tcPr>
                  <w:tcW w:type="dxa" w:w="1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right="210"/>
                  </w:pPr>
                  <w:r>
                    <w:rPr>
                      <w:rFonts w:ascii="仿宋_GB2312" w:hAnsi="仿宋_GB2312" w:cs="仿宋_GB2312" w:eastAsia="仿宋_GB2312"/>
                      <w:sz w:val="21"/>
                      <w:b/>
                    </w:rPr>
                    <w:t>红外热成像气体泄漏检测仪</w:t>
                  </w:r>
                </w:p>
                <w:p>
                  <w:pPr>
                    <w:pStyle w:val="null3"/>
                    <w:ind w:firstLine="420"/>
                    <w:jc w:val="both"/>
                  </w:pPr>
                  <w:r>
                    <w:rPr>
                      <w:rFonts w:ascii="仿宋_GB2312" w:hAnsi="仿宋_GB2312" w:cs="仿宋_GB2312" w:eastAsia="仿宋_GB2312"/>
                      <w:sz w:val="21"/>
                    </w:rPr>
                    <w:t>红外热成像气体泄漏检测仪是一款针对挥发性有机气体（</w:t>
                  </w:r>
                  <w:r>
                    <w:rPr>
                      <w:rFonts w:ascii="仿宋_GB2312" w:hAnsi="仿宋_GB2312" w:cs="仿宋_GB2312" w:eastAsia="仿宋_GB2312"/>
                      <w:sz w:val="21"/>
                    </w:rPr>
                    <w:t>VOCs）泄漏检测的非接触式检测仪。以图像或视频形式快速发现挥发性有机气体（VOCs）泄漏现象，可检测的因子包括烷烃、卤代烃、含氧有机物以及部分恶臭因子等，可以精确定位泄漏或排放的源头，便于执法人员在安全距离以外检测VOCs泄漏。</w:t>
                  </w:r>
                </w:p>
                <w:p>
                  <w:pPr>
                    <w:pStyle w:val="null3"/>
                    <w:ind w:right="315"/>
                  </w:pPr>
                  <w:r>
                    <w:rPr>
                      <w:rFonts w:ascii="仿宋_GB2312" w:hAnsi="仿宋_GB2312" w:cs="仿宋_GB2312" w:eastAsia="仿宋_GB2312"/>
                      <w:sz w:val="28"/>
                      <w:b/>
                    </w:rPr>
                    <w:t>1.</w:t>
                  </w:r>
                  <w:r>
                    <w:rPr>
                      <w:rFonts w:ascii="仿宋_GB2312" w:hAnsi="仿宋_GB2312" w:cs="仿宋_GB2312" w:eastAsia="仿宋_GB2312"/>
                      <w:sz w:val="28"/>
                      <w:b/>
                    </w:rPr>
                    <w:t>基本要求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1）针对挥发性有机气体的非接触式检测仪，以图像形式快速发现挥发性有机气体泄漏，并能精准定位泄漏或排放源头</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2）探测器类型：制冷型高灵敏度探测器；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3）操作方式：具备中文操作界面，用按键或者触摸屏操作；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4）图像调整：自动/手动调整对比度、亮度；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5）气体增强显示：具备高灵敏度模式，可探测到微小泄漏状态；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6）录制红外视频和可见光视频时，可以同时录制语音数据；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7）语音记录和回放功能：可随图像一同存储不少于60秒语音记录；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8）具有可旋转触摸彩色显示屏，可根据测量点位调整屏幕视角，方便观察；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9）激光指示：具有激光指示功能，激光分类为二级，波长为635nm红色激光，功率为1mW</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10）测温精度：采用不少于5个不同的温度校准点，进行温度校准比对，环境温度在23℃±5℃时，0℃~100℃测温范围时，测温精度为±1℃；其它测温段时，测温精度为被测温度的±2℃或±2%（取绝对值大者）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11）激光定位：可将激光指示点位置在图像中标记出来，并进行跟随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12）最小成像距离：0.3m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13）定位：主机屏幕可以显示实时经纬度信息</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14）放大镜功能：可使用放大镜功能对热图像进行局部放大</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15）图像冻结功能：具备图像冻结功能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16）通过WIFI连接防爆手操器，可对红外热成像气体泄漏检测仪图像远程传输并可以进行远程控制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17）具有防爆合格证，且防爆等级不低于Ex ic nC op is IIC T6 Gc</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18）具备全景多帧图像拼接功能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19）使用环境温度：至少包含-30℃～+50℃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20）电池使用时间：具有电量报警、自动关机或自动息屏功能，单块电池连续使用时间≥4小时；低温环境下（-20℃及以下）电池使用时间≥3小时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21）充电方式：仪器具备直接充电和座充两种充电方式，可采用电源适配器连接主机充电口直接充电，或将电池拆卸采用座充独立充电，座充可同时为两块电池充电</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22）可检测气体至少包含：甲烷、乙烷、丙烷、丁烷、戊烷、环氧乙烷、溴甲烷、溴乙烷、氯甲烷、1-己烷、乙烯、丙烯、异戊二烯、异丁烯、1,3-丁二烯、苯、甲苯、二甲苯、三甲苯、对二甲苯、乙苯、苯乙烯、1,2-二甲苯、甲醇、乙醇、异丙醇等多种常见的挥发性有机气体。</w:t>
                  </w:r>
                </w:p>
                <w:p>
                  <w:pPr>
                    <w:pStyle w:val="null3"/>
                    <w:ind w:right="315"/>
                  </w:pPr>
                  <w:r>
                    <w:rPr>
                      <w:rFonts w:ascii="仿宋_GB2312" w:hAnsi="仿宋_GB2312" w:cs="仿宋_GB2312" w:eastAsia="仿宋_GB2312"/>
                      <w:sz w:val="28"/>
                      <w:b/>
                    </w:rPr>
                    <w:t>2.</w:t>
                  </w:r>
                  <w:r>
                    <w:rPr>
                      <w:rFonts w:ascii="仿宋_GB2312" w:hAnsi="仿宋_GB2312" w:cs="仿宋_GB2312" w:eastAsia="仿宋_GB2312"/>
                      <w:sz w:val="28"/>
                      <w:b/>
                    </w:rPr>
                    <w:t>技术参数</w:t>
                  </w:r>
                  <w:r>
                    <w:rPr>
                      <w:rFonts w:ascii="仿宋_GB2312" w:hAnsi="仿宋_GB2312" w:cs="仿宋_GB2312" w:eastAsia="仿宋_GB2312"/>
                      <w:sz w:val="28"/>
                      <w:b/>
                    </w:rPr>
                    <w:t>要求</w:t>
                  </w:r>
                </w:p>
                <w:p>
                  <w:pPr>
                    <w:pStyle w:val="null3"/>
                    <w:ind w:firstLine="480"/>
                    <w:jc w:val="both"/>
                  </w:pPr>
                  <w:r>
                    <w:rPr>
                      <w:rFonts w:ascii="仿宋_GB2312" w:hAnsi="仿宋_GB2312" w:cs="仿宋_GB2312" w:eastAsia="仿宋_GB2312"/>
                      <w:sz w:val="21"/>
                    </w:rPr>
                    <w:t>存储温度：</w:t>
                  </w:r>
                  <w:r>
                    <w:rPr>
                      <w:rFonts w:ascii="仿宋_GB2312" w:hAnsi="仿宋_GB2312" w:cs="仿宋_GB2312" w:eastAsia="仿宋_GB2312"/>
                      <w:sz w:val="21"/>
                    </w:rPr>
                    <w:t>-40℃～+70℃</w:t>
                  </w:r>
                </w:p>
                <w:p>
                  <w:pPr>
                    <w:pStyle w:val="null3"/>
                    <w:ind w:firstLine="480"/>
                    <w:jc w:val="both"/>
                  </w:pPr>
                  <w:r>
                    <w:rPr>
                      <w:rFonts w:ascii="仿宋_GB2312" w:hAnsi="仿宋_GB2312" w:cs="仿宋_GB2312" w:eastAsia="仿宋_GB2312"/>
                      <w:sz w:val="21"/>
                    </w:rPr>
                    <w:t>测温范围：</w:t>
                  </w:r>
                  <w:r>
                    <w:rPr>
                      <w:rFonts w:ascii="仿宋_GB2312" w:hAnsi="仿宋_GB2312" w:cs="仿宋_GB2312" w:eastAsia="仿宋_GB2312"/>
                      <w:sz w:val="21"/>
                    </w:rPr>
                    <w:t>-20℃～+350℃</w:t>
                  </w:r>
                </w:p>
                <w:p>
                  <w:pPr>
                    <w:pStyle w:val="null3"/>
                    <w:ind w:firstLine="480"/>
                    <w:jc w:val="both"/>
                  </w:pPr>
                  <w:r>
                    <w:rPr>
                      <w:rFonts w:ascii="仿宋_GB2312" w:hAnsi="仿宋_GB2312" w:cs="仿宋_GB2312" w:eastAsia="仿宋_GB2312"/>
                      <w:sz w:val="21"/>
                    </w:rPr>
                    <w:t>工作波段：</w:t>
                  </w: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~3.5μm</w:t>
                  </w:r>
                </w:p>
                <w:p>
                  <w:pPr>
                    <w:pStyle w:val="null3"/>
                    <w:ind w:firstLine="480"/>
                    <w:jc w:val="both"/>
                  </w:pPr>
                  <w:r>
                    <w:rPr>
                      <w:rFonts w:ascii="仿宋_GB2312" w:hAnsi="仿宋_GB2312" w:cs="仿宋_GB2312" w:eastAsia="仿宋_GB2312"/>
                      <w:sz w:val="21"/>
                    </w:rPr>
                    <w:t>分辨率：</w:t>
                  </w:r>
                  <w:r>
                    <w:rPr>
                      <w:rFonts w:ascii="仿宋_GB2312" w:hAnsi="仿宋_GB2312" w:cs="仿宋_GB2312" w:eastAsia="仿宋_GB2312"/>
                      <w:sz w:val="21"/>
                    </w:rPr>
                    <w:t>≥320×256</w:t>
                  </w:r>
                </w:p>
                <w:p>
                  <w:pPr>
                    <w:pStyle w:val="null3"/>
                    <w:ind w:firstLine="480"/>
                    <w:jc w:val="both"/>
                  </w:pPr>
                  <w:r>
                    <w:rPr>
                      <w:rFonts w:ascii="仿宋_GB2312" w:hAnsi="仿宋_GB2312" w:cs="仿宋_GB2312" w:eastAsia="仿宋_GB2312"/>
                      <w:sz w:val="21"/>
                    </w:rPr>
                    <w:t>热灵敏度：</w:t>
                  </w:r>
                  <w:r>
                    <w:rPr>
                      <w:rFonts w:ascii="仿宋_GB2312" w:hAnsi="仿宋_GB2312" w:cs="仿宋_GB2312" w:eastAsia="仿宋_GB2312"/>
                      <w:sz w:val="21"/>
                    </w:rPr>
                    <w:t>≤10mk@25℃</w:t>
                  </w:r>
                </w:p>
                <w:p>
                  <w:pPr>
                    <w:pStyle w:val="null3"/>
                    <w:ind w:firstLine="480"/>
                    <w:jc w:val="both"/>
                  </w:pPr>
                  <w:r>
                    <w:rPr>
                      <w:rFonts w:ascii="仿宋_GB2312" w:hAnsi="仿宋_GB2312" w:cs="仿宋_GB2312" w:eastAsia="仿宋_GB2312"/>
                      <w:sz w:val="21"/>
                    </w:rPr>
                    <w:t>显示屏：</w:t>
                  </w:r>
                  <w:r>
                    <w:rPr>
                      <w:rFonts w:ascii="仿宋_GB2312" w:hAnsi="仿宋_GB2312" w:cs="仿宋_GB2312" w:eastAsia="仿宋_GB2312"/>
                      <w:sz w:val="21"/>
                    </w:rPr>
                    <w:t>≥5英寸可旋转触摸液晶显示屏，分辨率≥1920×1080</w:t>
                  </w:r>
                </w:p>
                <w:p>
                  <w:pPr>
                    <w:pStyle w:val="null3"/>
                    <w:ind w:firstLine="480"/>
                    <w:jc w:val="both"/>
                  </w:pPr>
                  <w:r>
                    <w:rPr>
                      <w:rFonts w:ascii="仿宋_GB2312" w:hAnsi="仿宋_GB2312" w:cs="仿宋_GB2312" w:eastAsia="仿宋_GB2312"/>
                      <w:sz w:val="21"/>
                    </w:rPr>
                    <w:t>启动时间：</w:t>
                  </w:r>
                  <w:r>
                    <w:rPr>
                      <w:rFonts w:ascii="仿宋_GB2312" w:hAnsi="仿宋_GB2312" w:cs="仿宋_GB2312" w:eastAsia="仿宋_GB2312"/>
                      <w:sz w:val="21"/>
                    </w:rPr>
                    <w:t>≤6 min</w:t>
                  </w:r>
                </w:p>
                <w:p>
                  <w:pPr>
                    <w:pStyle w:val="null3"/>
                    <w:ind w:firstLine="480"/>
                    <w:jc w:val="both"/>
                  </w:pPr>
                  <w:r>
                    <w:rPr>
                      <w:rFonts w:ascii="仿宋_GB2312" w:hAnsi="仿宋_GB2312" w:cs="仿宋_GB2312" w:eastAsia="仿宋_GB2312"/>
                      <w:sz w:val="21"/>
                    </w:rPr>
                    <w:t>目镜分辨率：</w:t>
                  </w:r>
                  <w:r>
                    <w:rPr>
                      <w:rFonts w:ascii="仿宋_GB2312" w:hAnsi="仿宋_GB2312" w:cs="仿宋_GB2312" w:eastAsia="仿宋_GB2312"/>
                      <w:sz w:val="21"/>
                    </w:rPr>
                    <w:t>≥1920×1080（OLED，可旋转）</w:t>
                  </w:r>
                </w:p>
                <w:p>
                  <w:pPr>
                    <w:pStyle w:val="null3"/>
                    <w:ind w:firstLine="480"/>
                    <w:jc w:val="both"/>
                  </w:pPr>
                  <w:r>
                    <w:rPr>
                      <w:rFonts w:ascii="仿宋_GB2312" w:hAnsi="仿宋_GB2312" w:cs="仿宋_GB2312" w:eastAsia="仿宋_GB2312"/>
                      <w:sz w:val="21"/>
                    </w:rPr>
                    <w:t>可见光摄像头像素：</w:t>
                  </w:r>
                  <w:r>
                    <w:rPr>
                      <w:rFonts w:ascii="仿宋_GB2312" w:hAnsi="仿宋_GB2312" w:cs="仿宋_GB2312" w:eastAsia="仿宋_GB2312"/>
                      <w:sz w:val="21"/>
                    </w:rPr>
                    <w:t>≥500万（CMOS，带补光灯）</w:t>
                  </w:r>
                </w:p>
                <w:p>
                  <w:pPr>
                    <w:pStyle w:val="null3"/>
                    <w:ind w:firstLine="480"/>
                    <w:jc w:val="both"/>
                  </w:pPr>
                  <w:r>
                    <w:rPr>
                      <w:rFonts w:ascii="仿宋_GB2312" w:hAnsi="仿宋_GB2312" w:cs="仿宋_GB2312" w:eastAsia="仿宋_GB2312"/>
                      <w:sz w:val="21"/>
                    </w:rPr>
                    <w:t>手柄可旋转角度：</w:t>
                  </w:r>
                  <w:r>
                    <w:rPr>
                      <w:rFonts w:ascii="仿宋_GB2312" w:hAnsi="仿宋_GB2312" w:cs="仿宋_GB2312" w:eastAsia="仿宋_GB2312"/>
                      <w:sz w:val="21"/>
                    </w:rPr>
                    <w:t>≥270度</w:t>
                  </w:r>
                </w:p>
                <w:p>
                  <w:pPr>
                    <w:pStyle w:val="null3"/>
                    <w:ind w:firstLine="480"/>
                    <w:jc w:val="both"/>
                  </w:pPr>
                  <w:r>
                    <w:rPr>
                      <w:rFonts w:ascii="仿宋_GB2312" w:hAnsi="仿宋_GB2312" w:cs="仿宋_GB2312" w:eastAsia="仿宋_GB2312"/>
                      <w:sz w:val="21"/>
                    </w:rPr>
                    <w:t>显示模式：可使用用户自定义的调色板伪彩显示热图，具有不少于</w:t>
                  </w:r>
                  <w:r>
                    <w:rPr>
                      <w:rFonts w:ascii="仿宋_GB2312" w:hAnsi="仿宋_GB2312" w:cs="仿宋_GB2312" w:eastAsia="仿宋_GB2312"/>
                      <w:sz w:val="21"/>
                    </w:rPr>
                    <w:t>12种伪彩色调色板，可以手动/自动调节色标，具备色标反向功能。</w:t>
                  </w:r>
                </w:p>
                <w:p>
                  <w:pPr>
                    <w:pStyle w:val="null3"/>
                    <w:ind w:firstLine="480"/>
                    <w:jc w:val="both"/>
                  </w:pPr>
                  <w:r>
                    <w:rPr>
                      <w:rFonts w:ascii="仿宋_GB2312" w:hAnsi="仿宋_GB2312" w:cs="仿宋_GB2312" w:eastAsia="仿宋_GB2312"/>
                      <w:sz w:val="21"/>
                    </w:rPr>
                    <w:t>变倍：</w:t>
                  </w:r>
                  <w:r>
                    <w:rPr>
                      <w:rFonts w:ascii="仿宋_GB2312" w:hAnsi="仿宋_GB2312" w:cs="仿宋_GB2312" w:eastAsia="仿宋_GB2312"/>
                      <w:sz w:val="21"/>
                    </w:rPr>
                    <w:t>1~8倍连续数字变倍</w:t>
                  </w:r>
                </w:p>
                <w:p>
                  <w:pPr>
                    <w:pStyle w:val="null3"/>
                    <w:ind w:firstLine="480"/>
                    <w:jc w:val="both"/>
                  </w:pPr>
                  <w:r>
                    <w:rPr>
                      <w:rFonts w:ascii="仿宋_GB2312" w:hAnsi="仿宋_GB2312" w:cs="仿宋_GB2312" w:eastAsia="仿宋_GB2312"/>
                      <w:sz w:val="21"/>
                    </w:rPr>
                    <w:t>视频存储：</w:t>
                  </w:r>
                  <w:r>
                    <w:rPr>
                      <w:rFonts w:ascii="仿宋_GB2312" w:hAnsi="仿宋_GB2312" w:cs="仿宋_GB2312" w:eastAsia="仿宋_GB2312"/>
                      <w:sz w:val="21"/>
                    </w:rPr>
                    <w:t>存储</w:t>
                  </w:r>
                  <w:r>
                    <w:rPr>
                      <w:rFonts w:ascii="仿宋_GB2312" w:hAnsi="仿宋_GB2312" w:cs="仿宋_GB2312" w:eastAsia="仿宋_GB2312"/>
                      <w:sz w:val="21"/>
                    </w:rPr>
                    <w:t>卡</w:t>
                  </w:r>
                  <w:r>
                    <w:rPr>
                      <w:rFonts w:ascii="仿宋_GB2312" w:hAnsi="仿宋_GB2312" w:cs="仿宋_GB2312" w:eastAsia="仿宋_GB2312"/>
                      <w:sz w:val="21"/>
                    </w:rPr>
                    <w:t>≥64G</w:t>
                  </w:r>
                </w:p>
                <w:p>
                  <w:pPr>
                    <w:pStyle w:val="null3"/>
                    <w:ind w:firstLine="480"/>
                    <w:jc w:val="both"/>
                  </w:pPr>
                  <w:r>
                    <w:rPr>
                      <w:rFonts w:ascii="仿宋_GB2312" w:hAnsi="仿宋_GB2312" w:cs="仿宋_GB2312" w:eastAsia="仿宋_GB2312"/>
                      <w:sz w:val="21"/>
                    </w:rPr>
                    <w:t>重量：</w:t>
                  </w: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kg（含标配镜头和电池）</w:t>
                  </w:r>
                </w:p>
              </w:tc>
              <w:tc>
                <w:tcPr>
                  <w:tcW w:type="dxa" w:w="3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color w:val="000000"/>
                    </w:rPr>
                    <w:t>1</w:t>
                  </w:r>
                </w:p>
              </w:tc>
              <w:tc>
                <w:tcPr>
                  <w:tcW w:type="dxa" w:w="3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8"/>
                    </w:rPr>
                    <w:t>市支队配备</w:t>
                  </w:r>
                </w:p>
              </w:tc>
            </w:tr>
            <w:tr>
              <w:tc>
                <w:tcPr>
                  <w:tcW w:type="dxa" w:w="2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2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便携式气相色谱</w:t>
                  </w:r>
                  <w:r>
                    <w:rPr>
                      <w:rFonts w:ascii="仿宋_GB2312" w:hAnsi="仿宋_GB2312" w:cs="仿宋_GB2312" w:eastAsia="仿宋_GB2312"/>
                      <w:sz w:val="28"/>
                    </w:rPr>
                    <w:t>-质谱联用仪</w:t>
                  </w:r>
                </w:p>
              </w:tc>
              <w:tc>
                <w:tcPr>
                  <w:tcW w:type="dxa" w:w="1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right="210"/>
                  </w:pPr>
                  <w:r>
                    <w:rPr>
                      <w:rFonts w:ascii="仿宋_GB2312" w:hAnsi="仿宋_GB2312" w:cs="仿宋_GB2312" w:eastAsia="仿宋_GB2312"/>
                      <w:sz w:val="21"/>
                      <w:b/>
                    </w:rPr>
                    <w:t>便携式气相色谱</w:t>
                  </w:r>
                  <w:r>
                    <w:rPr>
                      <w:rFonts w:ascii="仿宋_GB2312" w:hAnsi="仿宋_GB2312" w:cs="仿宋_GB2312" w:eastAsia="仿宋_GB2312"/>
                      <w:sz w:val="21"/>
                      <w:b/>
                    </w:rPr>
                    <w:t>-质谱联用仪</w:t>
                  </w:r>
                </w:p>
                <w:p>
                  <w:pPr>
                    <w:pStyle w:val="null3"/>
                    <w:ind w:firstLine="420"/>
                    <w:jc w:val="both"/>
                  </w:pPr>
                  <w:r>
                    <w:rPr>
                      <w:rFonts w:ascii="仿宋_GB2312" w:hAnsi="仿宋_GB2312" w:cs="仿宋_GB2312" w:eastAsia="仿宋_GB2312"/>
                      <w:sz w:val="21"/>
                    </w:rPr>
                    <w:t>便携式气相色谱</w:t>
                  </w:r>
                  <w:r>
                    <w:rPr>
                      <w:rFonts w:ascii="仿宋_GB2312" w:hAnsi="仿宋_GB2312" w:cs="仿宋_GB2312" w:eastAsia="仿宋_GB2312"/>
                      <w:sz w:val="21"/>
                    </w:rPr>
                    <w:t>-质谱联用仪可用于污染事故现场大气挥发性机污染物的快速定性及定量、半定量分析。该设备</w:t>
                  </w:r>
                  <w:r>
                    <w:rPr>
                      <w:rFonts w:ascii="仿宋_GB2312" w:hAnsi="仿宋_GB2312" w:cs="仿宋_GB2312" w:eastAsia="仿宋_GB2312"/>
                      <w:sz w:val="21"/>
                    </w:rPr>
                    <w:t>需满足</w:t>
                  </w:r>
                  <w:r>
                    <w:rPr>
                      <w:rFonts w:ascii="仿宋_GB2312" w:hAnsi="仿宋_GB2312" w:cs="仿宋_GB2312" w:eastAsia="仿宋_GB2312"/>
                      <w:sz w:val="21"/>
                    </w:rPr>
                    <w:t>《环境空气</w:t>
                  </w:r>
                  <w:r>
                    <w:rPr>
                      <w:rFonts w:ascii="仿宋_GB2312" w:hAnsi="仿宋_GB2312" w:cs="仿宋_GB2312" w:eastAsia="仿宋_GB2312"/>
                      <w:sz w:val="21"/>
                    </w:rPr>
                    <w:t>挥发性有机物的应急测定</w:t>
                  </w:r>
                  <w:r>
                    <w:rPr>
                      <w:rFonts w:ascii="仿宋_GB2312" w:hAnsi="仿宋_GB2312" w:cs="仿宋_GB2312" w:eastAsia="仿宋_GB2312"/>
                      <w:sz w:val="21"/>
                    </w:rPr>
                    <w:t>便携式气相色谱</w:t>
                  </w:r>
                  <w:r>
                    <w:rPr>
                      <w:rFonts w:ascii="仿宋_GB2312" w:hAnsi="仿宋_GB2312" w:cs="仿宋_GB2312" w:eastAsia="仿宋_GB2312"/>
                      <w:sz w:val="21"/>
                    </w:rPr>
                    <w:t>-质谱法》（HJ 1223—2021）对仪器性能的要求。</w:t>
                  </w:r>
                </w:p>
                <w:p>
                  <w:pPr>
                    <w:pStyle w:val="null3"/>
                    <w:ind w:right="315"/>
                  </w:pPr>
                  <w:r>
                    <w:rPr>
                      <w:rFonts w:ascii="仿宋_GB2312" w:hAnsi="仿宋_GB2312" w:cs="仿宋_GB2312" w:eastAsia="仿宋_GB2312"/>
                      <w:sz w:val="28"/>
                      <w:b/>
                    </w:rPr>
                    <w:t>1.基本要求</w:t>
                  </w:r>
                </w:p>
                <w:p>
                  <w:pPr>
                    <w:pStyle w:val="null3"/>
                    <w:numPr>
                      <w:ilvl w:val="0"/>
                      <w:numId w:val="1"/>
                    </w:numPr>
                    <w:jc w:val="both"/>
                  </w:pPr>
                  <w:r>
                    <w:rPr>
                      <w:rFonts w:ascii="仿宋_GB2312" w:hAnsi="仿宋_GB2312" w:cs="仿宋_GB2312" w:eastAsia="仿宋_GB2312"/>
                      <w:sz w:val="21"/>
                    </w:rPr>
                    <w:t>电源：可用充电电池和交流电两种供电模式。</w:t>
                  </w:r>
                </w:p>
                <w:p>
                  <w:pPr>
                    <w:pStyle w:val="null3"/>
                    <w:numPr>
                      <w:ilvl w:val="0"/>
                      <w:numId w:val="1"/>
                    </w:numPr>
                    <w:jc w:val="both"/>
                  </w:pPr>
                  <w:r>
                    <w:rPr>
                      <w:rFonts w:ascii="仿宋_GB2312" w:hAnsi="仿宋_GB2312" w:cs="仿宋_GB2312" w:eastAsia="仿宋_GB2312"/>
                      <w:sz w:val="21"/>
                    </w:rPr>
                    <w:t>电池：应急现场内置电池电量耗尽后可无需拆机快速更换，实现热切换，重量</w:t>
                  </w:r>
                  <w:r>
                    <w:rPr>
                      <w:rFonts w:ascii="仿宋_GB2312" w:hAnsi="仿宋_GB2312" w:cs="仿宋_GB2312" w:eastAsia="仿宋_GB2312"/>
                      <w:sz w:val="21"/>
                    </w:rPr>
                    <w:t>≤2.5kg。</w:t>
                  </w:r>
                </w:p>
                <w:p>
                  <w:pPr>
                    <w:pStyle w:val="null3"/>
                    <w:numPr>
                      <w:ilvl w:val="0"/>
                      <w:numId w:val="1"/>
                    </w:numPr>
                    <w:jc w:val="both"/>
                  </w:pPr>
                  <w:r>
                    <w:rPr>
                      <w:rFonts w:ascii="仿宋_GB2312" w:hAnsi="仿宋_GB2312" w:cs="仿宋_GB2312" w:eastAsia="仿宋_GB2312"/>
                      <w:sz w:val="21"/>
                    </w:rPr>
                    <w:t>连续工作时间：</w:t>
                  </w:r>
                  <w:r>
                    <w:rPr>
                      <w:rFonts w:ascii="仿宋_GB2312" w:hAnsi="仿宋_GB2312" w:cs="仿宋_GB2312" w:eastAsia="仿宋_GB2312"/>
                      <w:sz w:val="21"/>
                    </w:rPr>
                    <w:t>≥24小时。</w:t>
                  </w:r>
                </w:p>
                <w:p>
                  <w:pPr>
                    <w:pStyle w:val="null3"/>
                    <w:numPr>
                      <w:ilvl w:val="0"/>
                      <w:numId w:val="1"/>
                    </w:numPr>
                    <w:jc w:val="both"/>
                  </w:pPr>
                  <w:r>
                    <w:rPr>
                      <w:rFonts w:ascii="仿宋_GB2312" w:hAnsi="仿宋_GB2312" w:cs="仿宋_GB2312" w:eastAsia="仿宋_GB2312"/>
                      <w:sz w:val="21"/>
                    </w:rPr>
                    <w:t>预热时间：设备可快速预热，以应对突发事故应急监测，预热时间（冷启动时间）＜</w:t>
                  </w:r>
                  <w:r>
                    <w:rPr>
                      <w:rFonts w:ascii="仿宋_GB2312" w:hAnsi="仿宋_GB2312" w:cs="仿宋_GB2312" w:eastAsia="仿宋_GB2312"/>
                      <w:sz w:val="21"/>
                    </w:rPr>
                    <w:t>6 min。</w:t>
                  </w:r>
                </w:p>
                <w:p>
                  <w:pPr>
                    <w:pStyle w:val="null3"/>
                    <w:numPr>
                      <w:ilvl w:val="0"/>
                      <w:numId w:val="1"/>
                    </w:numPr>
                    <w:jc w:val="both"/>
                  </w:pPr>
                  <w:r>
                    <w:rPr>
                      <w:rFonts w:ascii="仿宋_GB2312" w:hAnsi="仿宋_GB2312" w:cs="仿宋_GB2312" w:eastAsia="仿宋_GB2312"/>
                      <w:sz w:val="21"/>
                    </w:rPr>
                    <w:t>抗震性：设备可适应现场各种恶劣的环境，具有的抗震能力。</w:t>
                  </w:r>
                </w:p>
                <w:p>
                  <w:pPr>
                    <w:pStyle w:val="null3"/>
                    <w:ind w:right="315"/>
                  </w:pPr>
                  <w:r>
                    <w:rPr>
                      <w:rFonts w:ascii="仿宋_GB2312" w:hAnsi="仿宋_GB2312" w:cs="仿宋_GB2312" w:eastAsia="仿宋_GB2312"/>
                      <w:sz w:val="28"/>
                      <w:b/>
                    </w:rPr>
                    <w:t>2.</w:t>
                  </w:r>
                  <w:r>
                    <w:rPr>
                      <w:rFonts w:ascii="仿宋_GB2312" w:hAnsi="仿宋_GB2312" w:cs="仿宋_GB2312" w:eastAsia="仿宋_GB2312"/>
                      <w:sz w:val="28"/>
                      <w:b/>
                    </w:rPr>
                    <w:t>技术参数</w:t>
                  </w:r>
                  <w:r>
                    <w:rPr>
                      <w:rFonts w:ascii="仿宋_GB2312" w:hAnsi="仿宋_GB2312" w:cs="仿宋_GB2312" w:eastAsia="仿宋_GB2312"/>
                      <w:sz w:val="28"/>
                      <w:b/>
                    </w:rPr>
                    <w:t>要求</w:t>
                  </w:r>
                </w:p>
                <w:p>
                  <w:pPr>
                    <w:pStyle w:val="null3"/>
                  </w:pPr>
                  <w:r>
                    <w:rPr>
                      <w:rFonts w:ascii="仿宋_GB2312" w:hAnsi="仿宋_GB2312" w:cs="仿宋_GB2312" w:eastAsia="仿宋_GB2312"/>
                      <w:sz w:val="28"/>
                      <w:b/>
                    </w:rPr>
                    <w:t>2.1</w:t>
                  </w:r>
                  <w:r>
                    <w:rPr>
                      <w:rFonts w:ascii="仿宋_GB2312" w:hAnsi="仿宋_GB2312" w:cs="仿宋_GB2312" w:eastAsia="仿宋_GB2312"/>
                      <w:sz w:val="28"/>
                      <w:b/>
                    </w:rPr>
                    <w:t>气相色谱模块</w:t>
                  </w:r>
                </w:p>
                <w:p>
                  <w:pPr>
                    <w:pStyle w:val="null3"/>
                    <w:numPr>
                      <w:ilvl w:val="0"/>
                      <w:numId w:val="1"/>
                    </w:numPr>
                    <w:jc w:val="both"/>
                  </w:pPr>
                  <w:r>
                    <w:rPr>
                      <w:rFonts w:ascii="仿宋_GB2312" w:hAnsi="仿宋_GB2312" w:cs="仿宋_GB2312" w:eastAsia="仿宋_GB2312"/>
                      <w:sz w:val="21"/>
                    </w:rPr>
                    <w:t>内置长度为</w:t>
                  </w:r>
                  <w:r>
                    <w:rPr>
                      <w:rFonts w:ascii="仿宋_GB2312" w:hAnsi="仿宋_GB2312" w:cs="仿宋_GB2312" w:eastAsia="仿宋_GB2312"/>
                      <w:sz w:val="21"/>
                    </w:rPr>
                    <w:t>5m-10m的快速色谱柱。为满足应急现场快速分析的要求，温度设置范围上限应达到280℃，升温速率至少可达到140℃/min</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样品进样：仪器同时内置吸附管及定量环，气体样品可通过吸附热解吸和定量环两种模式进样，可通过软件控制二者选其一使用，避免手动更换</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样品进样全套管路均需经表面惰性化处理，具有预抽功能和反吹功能，以保证仪器抗污染能力及测试结果准确度</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分析速度：</w:t>
                  </w:r>
                  <w:r>
                    <w:rPr>
                      <w:rFonts w:ascii="仿宋_GB2312" w:hAnsi="仿宋_GB2312" w:cs="仿宋_GB2312" w:eastAsia="仿宋_GB2312"/>
                      <w:sz w:val="21"/>
                    </w:rPr>
                    <w:t>GC-MS分析≤6 min，必须同时满足甲苯与1,1,2-三氯乙烷的分离度＞1</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载气：氦气或氮气；便携式载气瓶容积</w:t>
                  </w:r>
                  <w:r>
                    <w:rPr>
                      <w:rFonts w:ascii="仿宋_GB2312" w:hAnsi="仿宋_GB2312" w:cs="仿宋_GB2312" w:eastAsia="仿宋_GB2312"/>
                      <w:sz w:val="21"/>
                    </w:rPr>
                    <w:t>≤100ml，与主机连接的同时具备减压阀，可调节载气压力大小</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载气监控：可对载气压力进行监控，并在载气压力低于规定限值时报警提示用户。</w:t>
                  </w:r>
                </w:p>
                <w:p>
                  <w:pPr>
                    <w:pStyle w:val="null3"/>
                  </w:pPr>
                  <w:r>
                    <w:rPr>
                      <w:rFonts w:ascii="仿宋_GB2312" w:hAnsi="仿宋_GB2312" w:cs="仿宋_GB2312" w:eastAsia="仿宋_GB2312"/>
                      <w:sz w:val="28"/>
                      <w:b/>
                    </w:rPr>
                    <w:t>2.2</w:t>
                  </w:r>
                  <w:r>
                    <w:rPr>
                      <w:rFonts w:ascii="仿宋_GB2312" w:hAnsi="仿宋_GB2312" w:cs="仿宋_GB2312" w:eastAsia="仿宋_GB2312"/>
                      <w:sz w:val="28"/>
                      <w:b/>
                    </w:rPr>
                    <w:t>质谱模块</w:t>
                  </w:r>
                </w:p>
                <w:p>
                  <w:pPr>
                    <w:pStyle w:val="null3"/>
                    <w:numPr>
                      <w:ilvl w:val="0"/>
                      <w:numId w:val="1"/>
                    </w:numPr>
                    <w:jc w:val="both"/>
                  </w:pPr>
                  <w:r>
                    <w:rPr>
                      <w:rFonts w:ascii="仿宋_GB2312" w:hAnsi="仿宋_GB2312" w:cs="仿宋_GB2312" w:eastAsia="仿宋_GB2312"/>
                      <w:sz w:val="21"/>
                    </w:rPr>
                    <w:t>质量分析器：离子阱质量分析器</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电离方式：</w:t>
                  </w:r>
                  <w:r>
                    <w:rPr>
                      <w:rFonts w:ascii="仿宋_GB2312" w:hAnsi="仿宋_GB2312" w:cs="仿宋_GB2312" w:eastAsia="仿宋_GB2312"/>
                      <w:sz w:val="21"/>
                    </w:rPr>
                    <w:t>70eV EI源电离</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灵敏度：信噪比＞</w:t>
                  </w:r>
                  <w:r>
                    <w:rPr>
                      <w:rFonts w:ascii="仿宋_GB2312" w:hAnsi="仿宋_GB2312" w:cs="仿宋_GB2312" w:eastAsia="仿宋_GB2312"/>
                      <w:sz w:val="21"/>
                    </w:rPr>
                    <w:t>10：1</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峰面积重复性：</w:t>
                  </w:r>
                  <w:r>
                    <w:rPr>
                      <w:rFonts w:ascii="仿宋_GB2312" w:hAnsi="仿宋_GB2312" w:cs="仿宋_GB2312" w:eastAsia="仿宋_GB2312"/>
                      <w:sz w:val="21"/>
                    </w:rPr>
                    <w:t>RSD≤10%</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用</w:t>
                  </w:r>
                  <w:r>
                    <w:rPr>
                      <w:rFonts w:ascii="仿宋_GB2312" w:hAnsi="仿宋_GB2312" w:cs="仿宋_GB2312" w:eastAsia="仿宋_GB2312"/>
                      <w:sz w:val="21"/>
                    </w:rPr>
                    <w:t>2ppb TO-15（进样量500 ml，分流比50：1）标准气体检测，能够准确定性70%以上物质，同时70%以上物质的保留时间重复性（六组数据）RSD≤1%</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真空系统：真空泵为非消耗型器件，无油设计，可实现应急现场快速响应，达到分析准备条件，同时分子泵抽速</w:t>
                  </w:r>
                  <w:r>
                    <w:rPr>
                      <w:rFonts w:ascii="仿宋_GB2312" w:hAnsi="仿宋_GB2312" w:cs="仿宋_GB2312" w:eastAsia="仿宋_GB2312"/>
                      <w:sz w:val="21"/>
                    </w:rPr>
                    <w:t>≤10L/s，保证设备抗震性和功率稳定性</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质量数范围：</w:t>
                  </w:r>
                  <w:r>
                    <w:rPr>
                      <w:rFonts w:ascii="仿宋_GB2312" w:hAnsi="仿宋_GB2312" w:cs="仿宋_GB2312" w:eastAsia="仿宋_GB2312"/>
                      <w:sz w:val="21"/>
                    </w:rPr>
                    <w:t>45~450 u，覆盖挥发性有机物及半挥发性有机物</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扫描速率：</w:t>
                  </w:r>
                  <w:r>
                    <w:rPr>
                      <w:rFonts w:ascii="仿宋_GB2312" w:hAnsi="仿宋_GB2312" w:cs="仿宋_GB2312" w:eastAsia="仿宋_GB2312"/>
                      <w:sz w:val="21"/>
                    </w:rPr>
                    <w:t>≥10000 u/s</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设备符合</w:t>
                  </w:r>
                  <w:r>
                    <w:rPr>
                      <w:rFonts w:ascii="仿宋_GB2312" w:hAnsi="仿宋_GB2312" w:cs="仿宋_GB2312" w:eastAsia="仿宋_GB2312"/>
                      <w:sz w:val="21"/>
                    </w:rPr>
                    <w:t>HJ1223-2021《环境空气 挥发性有机物的应急测定 便携式气相色谱-质谱法》的要求，除具备外标法分析能力外，内标标准气和样品可同时进样并通过内标法定量</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内标气至少包括</w:t>
                  </w:r>
                  <w:r>
                    <w:rPr>
                      <w:rFonts w:ascii="仿宋_GB2312" w:hAnsi="仿宋_GB2312" w:cs="仿宋_GB2312" w:eastAsia="仿宋_GB2312"/>
                      <w:sz w:val="21"/>
                    </w:rPr>
                    <w:t>1,3,5-三（三氟甲基）苯及4-溴氟苯，具有内标调谐功能。内标钢瓶无需打开主机外壳即可实现反复灌充、易于更换，容积不大于90mL，灌充标气可耐受1500 psi或更高压力，以适应应急现场大量样品的分析需求。</w:t>
                  </w:r>
                </w:p>
                <w:p>
                  <w:pPr>
                    <w:pStyle w:val="null3"/>
                  </w:pPr>
                  <w:r>
                    <w:rPr>
                      <w:rFonts w:ascii="仿宋_GB2312" w:hAnsi="仿宋_GB2312" w:cs="仿宋_GB2312" w:eastAsia="仿宋_GB2312"/>
                      <w:sz w:val="28"/>
                      <w:b/>
                    </w:rPr>
                    <w:t>2.3</w:t>
                  </w:r>
                  <w:r>
                    <w:rPr>
                      <w:rFonts w:ascii="仿宋_GB2312" w:hAnsi="仿宋_GB2312" w:cs="仿宋_GB2312" w:eastAsia="仿宋_GB2312"/>
                      <w:sz w:val="28"/>
                      <w:b/>
                    </w:rPr>
                    <w:t>数据处理系统</w:t>
                  </w:r>
                </w:p>
                <w:p>
                  <w:pPr>
                    <w:pStyle w:val="null3"/>
                    <w:numPr>
                      <w:ilvl w:val="0"/>
                      <w:numId w:val="1"/>
                    </w:numPr>
                    <w:jc w:val="both"/>
                  </w:pPr>
                  <w:r>
                    <w:rPr>
                      <w:rFonts w:ascii="仿宋_GB2312" w:hAnsi="仿宋_GB2312" w:cs="仿宋_GB2312" w:eastAsia="仿宋_GB2312"/>
                      <w:sz w:val="21"/>
                    </w:rPr>
                    <w:t>全中文软件界面</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简约直观的图形化操作界面、人机交互式触摸屏，可在无人值守情况下按照事先设置好的序列运行设备</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软件具有实时定性功能，在分析未结束时即可对已出峰的物质进行定性，提高现场检测效率</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具有自动调谐功能，无需输入电压或质量数等任何参数即可进行调谐，关键离子丰度应满足</w:t>
                  </w:r>
                  <w:r>
                    <w:rPr>
                      <w:rFonts w:ascii="仿宋_GB2312" w:hAnsi="仿宋_GB2312" w:cs="仿宋_GB2312" w:eastAsia="仿宋_GB2312"/>
                      <w:sz w:val="21"/>
                    </w:rPr>
                    <w:t>HJ1223-2021《环境空气 挥发性有机物的应急测定 便携式气相色谱-质谱法》的要求</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具有自动维护功能，可设定自动维护周期</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设备内置北斗定位系统，无需外接模块或天线即可通过主机触屏任选一种模式定位，也可以双模式同时定位</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标准谱库：内装</w:t>
                  </w:r>
                  <w:r>
                    <w:rPr>
                      <w:rFonts w:ascii="仿宋_GB2312" w:hAnsi="仿宋_GB2312" w:cs="仿宋_GB2312" w:eastAsia="仿宋_GB2312"/>
                      <w:sz w:val="21"/>
                    </w:rPr>
                    <w:t>NIST与AMDIS的质谱库，NIOSH数据库</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专用数据库：中文版</w:t>
                  </w:r>
                  <w:r>
                    <w:rPr>
                      <w:rFonts w:ascii="仿宋_GB2312" w:hAnsi="仿宋_GB2312" w:cs="仿宋_GB2312" w:eastAsia="仿宋_GB2312"/>
                      <w:sz w:val="21"/>
                    </w:rPr>
                    <w:t>SIC数据库，环境标准参考数据库，环境样品专用谱库（内含超过1000种物质）。</w:t>
                  </w:r>
                </w:p>
                <w:p>
                  <w:pPr>
                    <w:pStyle w:val="null3"/>
                    <w:numPr>
                      <w:ilvl w:val="0"/>
                      <w:numId w:val="1"/>
                    </w:numPr>
                    <w:jc w:val="both"/>
                  </w:pPr>
                  <w:r>
                    <w:rPr>
                      <w:rFonts w:ascii="仿宋_GB2312" w:hAnsi="仿宋_GB2312" w:cs="仿宋_GB2312" w:eastAsia="仿宋_GB2312"/>
                      <w:sz w:val="21"/>
                    </w:rPr>
                    <w:t>可将检测结果链接到设备内置的环境标准（超过</w:t>
                  </w:r>
                  <w:r>
                    <w:rPr>
                      <w:rFonts w:ascii="仿宋_GB2312" w:hAnsi="仿宋_GB2312" w:cs="仿宋_GB2312" w:eastAsia="仿宋_GB2312"/>
                      <w:sz w:val="21"/>
                    </w:rPr>
                    <w:t>90种），在主机面板上标识出超标的物质</w:t>
                  </w:r>
                  <w:r>
                    <w:rPr>
                      <w:rFonts w:ascii="仿宋_GB2312" w:hAnsi="仿宋_GB2312" w:cs="仿宋_GB2312" w:eastAsia="仿宋_GB2312"/>
                      <w:sz w:val="21"/>
                    </w:rPr>
                    <w:t>。</w:t>
                  </w:r>
                </w:p>
                <w:p>
                  <w:pPr>
                    <w:pStyle w:val="null3"/>
                    <w:jc w:val="center"/>
                  </w:pPr>
                </w:p>
              </w:tc>
              <w:tc>
                <w:tcPr>
                  <w:tcW w:type="dxa" w:w="3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color w:val="000000"/>
                    </w:rPr>
                    <w:t>1</w:t>
                  </w:r>
                </w:p>
              </w:tc>
              <w:tc>
                <w:tcPr>
                  <w:tcW w:type="dxa" w:w="3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8"/>
                    </w:rPr>
                    <w:t>市支队配备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自合同签订后15日历天内安装调试完毕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自合同签订后15日历天内安装调试完毕。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货到现场安装、调试完毕，所有设备使用无质量问题，项目验收合格后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货到现场安装、调试完毕，所有设备使用无质量问题，项目验收合格后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货物必须符合国家标准、行业标准。供应商承诺的条款必须与投标时提供的完全一致，不存在任何偏差。如出现不一致，供应商将承担违约责任。验收工作由采购人负责对该项目进行验收，必要时其他相关人员到场协同验收。供应商所提供的设备必须具有合法手续及相关文件。如涉及知识产权则必须是供应商自己拥有或合法使用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合同约定或法律规定。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合同约定或法律规定。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2024年以来，各市新申报生态环境执法执法装备标准化能力建设项目，即按照《关于印发&lt;生态环境保护综合行政执法装备标准化建设指导标准（2024年版）&gt;的通知》（环办执法[2024]27号）内容要求采购的电气化执法装备，应在全省统筹纳管框架下，至少具备如下信息化互联能力： 1.基本能力：具备感知输入、处理存储、产生输出环境质量数据、污染排放数据、本体工况数据等的等基本功能，同时数据应统一标准、统一协议，并提供设备接入开发能力。 2.轨迹能力：执法装备仅基于单北斗导航卫星系统运行轨迹数据，支持空间分析、统计分析、可视化展示和调阅等，提供全面覆盖、重点突出、直观展示的信息表达方式和时空信息资源服务。 3.传输能力：优先满足5G，以及Wifi和蓝牙等多种网络，使用LwM2M/CoAP、MQTT、HTTPS等协议将上述装备相关数据实时（或近实时）传输接入全省统一物联网体系架构，保障数据的稳定、安全。 4.管理能力：能够实现设备统一接入移出管理、全省统一“一物一码”、数据收集、设备状态的监控和维护、同时提供接口开放的能力，支持上层应用的开发。 按照省生态环境厅全省执法装备物联基础能力建设要求，电气化执法装备需满足统一物联要求。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 分项报价明细表.docx 标的清单 备品备件报价表.docx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投标产品、数量符合招标文件的要求。</w:t>
            </w:r>
          </w:p>
        </w:tc>
        <w:tc>
          <w:tcPr>
            <w:tcW w:type="dxa" w:w="1661"/>
          </w:tcPr>
          <w:p>
            <w:pPr>
              <w:pStyle w:val="null3"/>
            </w:pPr>
            <w:r>
              <w:rPr>
                <w:rFonts w:ascii="仿宋_GB2312" w:hAnsi="仿宋_GB2312" w:cs="仿宋_GB2312" w:eastAsia="仿宋_GB2312"/>
              </w:rPr>
              <w:t>产品技术参数表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类似项目业绩一览表.docx 中小企业声明函 商务应答表 分项报价明细表.docx 承诺书.docx 产品技术参数表 法定代表人身份证明书.docx 供应商应提交的相关资格证明材料.docx 投标函 残疾人福利性单位声明函 标的清单 投标文件封面 备品备件报价表.docx 法定代表人授权委托书.docx 服务方案.docx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 分项报价明细表.docx 标的清单 备品备件报价表.docx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投标产品、数量符合招标文件的要求。</w:t>
            </w:r>
          </w:p>
        </w:tc>
        <w:tc>
          <w:tcPr>
            <w:tcW w:type="dxa" w:w="1661"/>
          </w:tcPr>
          <w:p>
            <w:pPr>
              <w:pStyle w:val="null3"/>
            </w:pPr>
            <w:r>
              <w:rPr>
                <w:rFonts w:ascii="仿宋_GB2312" w:hAnsi="仿宋_GB2312" w:cs="仿宋_GB2312" w:eastAsia="仿宋_GB2312"/>
              </w:rPr>
              <w:t>产品技术参数表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类似项目业绩一览表.docx 中小企业声明函 商务应答表 分项报价明细表.docx 承诺书.docx 产品技术参数表 法定代表人身份证明书.docx 供应商应提交的相关资格证明材料.docx 投标函 残疾人福利性单位声明函 标的清单 投标文件封面 备品备件报价表.docx 法定代表人授权委托书.docx 陕西省政府采购供应商拒绝政府采购领域商业贿赂承诺书.docx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技术项完全满足招标文件技术指标要求的，得30分，每负偏离一项扣0.5分，扣完为止。 注：未按招标文件要求提供相关检验报告或者证明的都视为负偏离（如应答时缺项，则视同负偏离处理）。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 ① 实施计划：② 供货、安装、调试方案：③ 验收措施：④ 物力调配的相应保障措施。 二、评审标准 1、完整性：方案须全面，对评审内容中的各项要求描述详细； 2、可实施性：切合本项目实际情况，实施步骤清晰、合理； 3、针对性：方案能够紧扣项目实际情况，内容科学合理。 三、赋分依据（满分 12 分） ①实施计划：每完全满足一个评审标准得 1 分，满分 3 分； ②供货、安装、调试方案:每完全满足一个评审标准得 1 分，满分 3 分； ③验收措施:每完全满足一个评审标准得 1 分，满分 3 分； ④物力调配的相应保障措施：每完全满足一个评审标准得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 根据本项目实际需求及特点，提出产品质量保障措施，包括： ①质量控制目标②质量控制流程③质量保障计划。 二、评审标准 1、完整性：内容完整，包含全部评审内容，无缺漏； 2、可实施性：内容描述合理，逻辑性强，符合行业规范； 3、针对性：内容切合本项目实际情况，考虑到本项目采购内容、工期、场地、人员协调、外部因素等情况。 三、赋分标准（满分4.5分） ① 质量控制目标：每满足一项评审标准得0.5分，满分1.5分； ② 质量控制流程：每满足一项评审标准得0.5分，满分1.5分； ③ 质量保障计划：每满足一项评审标准得0.5分，满分1.5分。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 使用过程中能熟练操作、维护和正常使用，培训方案内容包含①培训内容②培训计划安排。 二、评审标准 1、完整性：切合本项目实际情况，方案内容齐全，对招标文件中 各项要求有详细描述及其他内容的补充； 2、科学性：切合本项目实际情况，叙述清楚，符合客观实际情况； 3、合理性：方案内容符合项目实际特点，合理、恰当。 三、赋分依据（满分 3 分） ①培训内容：每完全满足一个评审标准得 0.5 分，满分 1.5 分； ②培训计划安排：每完全满足一个评审标准得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 ①售后服务范围及保障措施 ②故障处理及补救措施 ③售后回访巡检计划 二、评审标准 1.完整性：方案须全面，对评审内容中的各项要求有详细描述； 2.可实施性：切合本项目实际情况，提出步骤清晰、合理的方案； 3.针对性：方案能够紧扣项目实际情况，内容科学合理。 三、赋分依据（满分4.5分） ①售后服务范围及保障措施：每完全满足一个评审标准得0.5分， 满分1.5分； ②故障处理及补救措施: :每完全满足一个评审标准得0.5分，满分1.5分； ③售后回访巡检计划：每完全满足一个评审标准得0.5分，满分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质保期及其他承诺</w:t>
            </w:r>
          </w:p>
        </w:tc>
        <w:tc>
          <w:tcPr>
            <w:tcW w:type="dxa" w:w="2492"/>
          </w:tcPr>
          <w:p>
            <w:pPr>
              <w:pStyle w:val="null3"/>
            </w:pPr>
            <w:r>
              <w:rPr>
                <w:rFonts w:ascii="仿宋_GB2312" w:hAnsi="仿宋_GB2312" w:cs="仿宋_GB2312" w:eastAsia="仿宋_GB2312"/>
              </w:rPr>
              <w:t>1、承诺质保期高于招标文件要求的，每增加一年得 1 分，满分2分。无承诺不得分。 2、投标人针对本项目提供其他有利于本项目开展的承诺，每提供一条得1分，满分5分。不承诺不得分。 评审依据：投标文件中提供加盖投标人公章的承诺函 （须明确质保年限），否则不得分。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投标人所投产品为“节能产品政府采购品目清单”、“环境标志产品政府采购品目清单”内的，投标产品（包括零件、材料等）中每有一项为节能产品、环境标志产品经国家认证的得2分，满分4分。 评审依据：提供经国家确定的认证机构出具的、处于有效期内的节能产品认证证书。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相关业绩</w:t>
            </w:r>
          </w:p>
        </w:tc>
        <w:tc>
          <w:tcPr>
            <w:tcW w:type="dxa" w:w="2492"/>
          </w:tcPr>
          <w:p>
            <w:pPr>
              <w:pStyle w:val="null3"/>
            </w:pPr>
            <w:r>
              <w:rPr>
                <w:rFonts w:ascii="仿宋_GB2312" w:hAnsi="仿宋_GB2312" w:cs="仿宋_GB2312" w:eastAsia="仿宋_GB2312"/>
              </w:rPr>
              <w:t>投标人每提供一份2022年1月1日至今同类项目供货业绩计1分，最高得5分。注：①业绩以合同为准，时间以合同签订时间为准。②需提供完整合同扫描件。评审依据：提供合同复印件并加盖投标人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技术项完全满足招标文件技术指标要求的，得30分，每负偏离一项扣0.5分，扣完为止。 注：未按招标文件要求提供相关检验报告或者证明的都视为负偏离（如应答时缺项，则视同负偏离处理）。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 ① 实施计划：② 供货、安装、调试方案：③ 验收措施：④ 物力调配的相应保障措施。 二、评审标准 1、完整性：方案须全面，对评审内容中的各项要求描述详细； 2、可实施性：切合本项目实际情况，实施步骤清晰、合理； 3、针对性：方案能够紧扣项目实际情况，内容科学合理。 三、赋分依据（满分 12 分） ①实施计划：每完全满足一个评审标准得 1 分，满分 3 分； ②供货、安装、调试方案:每完全满足一个评审标准得 1 分，满分 3 分； ③验收措施:每完全满足一个评审标准得 1 分，满分 3 分； ④物力调配的相应保障措施：每完全满足一个评审标准得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 根据本项目实际需求及特点，提出产品质量保障措施，包括： ①质量控制目标②质量控制流程③质量保障计划。 二、评审标准 1、完整性：内容完整，包含全部评审内容，无缺漏； 2、可实施性：内容描述合理，逻辑性强，符合行业规范； 3、针对性：内容切合本项目实际情况，考虑到本项目采购内容、工期、场地、人员协调、外部因素等情况。 三、赋分标准（满分4.5分） ① 质量控制目标：每满足一项评审标准得0.5分，满分1.5分； ② 质量控制流程：每满足一项评审标准得0.5分，满分1.5分； ③ 质量保障计划：每满足一项评审标准得0.5分，满分1.5分。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 使用过程中能熟练操作、维护和正常使用，培训方案内容包含①培训内容②培训计划安排。 二、评审标准 1、完整性：切合本项目实际情况，方案内容齐全，对招标文件中 各项要求有详细描述及其他内容的补充； 2、科学性：切合本项目实际情况，叙述清楚，符合客观实际情况； 3、合理性：方案内容符合项目实际特点，合理、恰当。 三、赋分依据（满分 3 分） ①培训内容：每完全满足一个评审标准得 0.5 分，满分 1.5 分； ②培训计划安排：每完全满足一个评审标准得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 ①售后服务范围及保障措施 ②故障处理及补救措施 ③售后回访巡检计划 二、评审标准 1.完整性：方案须全面，对评审内容中的各项要求有详细描述； 2.可实施性：切合本项目实际情况，提出步骤清晰、合理的方案； 3.针对性：方案能够紧扣项目实际情况，内容科学合理。 三、赋分依据（满分4.5分） ①售后服务范围及保障措施：每完全满足一个评审标准得0.5分， 满分1.5分； ②故障处理及补救措施: :每完全满足一个评审标准得0.5分，满分1.5分； ③售后回访巡检计划：每完全满足一个评审标准得0.5分，满分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质保期及其他承诺</w:t>
            </w:r>
          </w:p>
        </w:tc>
        <w:tc>
          <w:tcPr>
            <w:tcW w:type="dxa" w:w="2492"/>
          </w:tcPr>
          <w:p>
            <w:pPr>
              <w:pStyle w:val="null3"/>
            </w:pPr>
            <w:r>
              <w:rPr>
                <w:rFonts w:ascii="仿宋_GB2312" w:hAnsi="仿宋_GB2312" w:cs="仿宋_GB2312" w:eastAsia="仿宋_GB2312"/>
              </w:rPr>
              <w:t>1、承诺质保期高于招标文件要求的，每增加一年得 1 分，满分2分。无承诺不得分。 2、投标人针对本项目提供其他有利于本项目开展的承诺，每提供一条得1分，满分5分。不承诺不得分。 评审依据：投标文件中提供加盖投标人公章的承诺函 （须明确质保年限），否则不得分。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投标人所投产品为“节能产品政府采购品目清单”、“环境标志产品政府采购品目清单”内的，投标产品（包括零件、材料等）中每有一项为节能产品、环境标志产品经国家认证的得2分，满分4分。 评审依据：提供经国家确定的认证机构出具的、处于有效期内的节能产品认证证书。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相关业绩</w:t>
            </w:r>
          </w:p>
        </w:tc>
        <w:tc>
          <w:tcPr>
            <w:tcW w:type="dxa" w:w="2492"/>
          </w:tcPr>
          <w:p>
            <w:pPr>
              <w:pStyle w:val="null3"/>
            </w:pPr>
            <w:r>
              <w:rPr>
                <w:rFonts w:ascii="仿宋_GB2312" w:hAnsi="仿宋_GB2312" w:cs="仿宋_GB2312" w:eastAsia="仿宋_GB2312"/>
              </w:rPr>
              <w:t>投标人每提供一份2022年1月1日至今同类项目供货业绩计1分，最高得5分。注：①业绩以合同为准，时间以合同签订时间为准。②需提供完整合同扫描件。评审依据：提供合同复印件并加盖投标人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详见附件：备品备件报价表.docx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详见附件：备品备件报价表.docx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