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版本号：HLHRC-2025-4520250917001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棚改回迁安置办公区改造项目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HLHRC-2025-45</w:t>
      </w:r>
      <w:r>
        <w:br/>
      </w:r>
      <w:r>
        <w:br/>
      </w:r>
      <w:r>
        <w:br/>
      </w:r>
    </w:p>
    <w:p>
      <w:pPr>
        <w:pStyle w:val="null3"/>
        <w:jc w:val="center"/>
        <w:outlineLvl w:val="2"/>
      </w:pPr>
      <w:r>
        <w:rPr>
          <w:rFonts w:ascii="仿宋_GB2312" w:hAnsi="仿宋_GB2312" w:cs="仿宋_GB2312" w:eastAsia="仿宋_GB2312"/>
          <w:sz w:val="28"/>
          <w:b/>
        </w:rPr>
        <w:t>商洛市人民政府驻西安办事处</w:t>
      </w:r>
    </w:p>
    <w:p>
      <w:pPr>
        <w:pStyle w:val="null3"/>
        <w:jc w:val="center"/>
        <w:outlineLvl w:val="2"/>
      </w:pPr>
      <w:r>
        <w:rPr>
          <w:rFonts w:ascii="仿宋_GB2312" w:hAnsi="仿宋_GB2312" w:cs="仿宋_GB2312" w:eastAsia="仿宋_GB2312"/>
          <w:sz w:val="28"/>
          <w:b/>
        </w:rPr>
        <w:t>商洛华瑞诚项目管理咨询有限公司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商洛华瑞诚项目管理咨询有限公司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商洛市人民政府驻西安办事处</w:t>
      </w:r>
      <w:r>
        <w:rPr>
          <w:rFonts w:ascii="仿宋_GB2312" w:hAnsi="仿宋_GB2312" w:cs="仿宋_GB2312" w:eastAsia="仿宋_GB2312"/>
        </w:rPr>
        <w:t>委托，拟对</w:t>
      </w:r>
      <w:r>
        <w:rPr>
          <w:rFonts w:ascii="仿宋_GB2312" w:hAnsi="仿宋_GB2312" w:cs="仿宋_GB2312" w:eastAsia="仿宋_GB2312"/>
        </w:rPr>
        <w:t>棚改回迁安置办公区改造项目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HLHRC-2025-45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棚改回迁安置办公区改造项目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商洛市人民政府驻西安办事处棚改回迁安置办公区改造项目，位于陕西省西安市，主要工作内容为装饰装修工程、给排水工程、消防工程、通风空调工程。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采购包1（商洛市人民政府驻西安办事处棚改回迁安置办公区改造项目）：属于专门面向中小企业采购。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2、财务状况报告：供应商提供2024年的财务审计报告（成立时间至投标截止时间不足一年的可提供成立后任意时段的资产负债表），或其开标前三个月内基本开户银行出具的资信证明及基本存款账户信息。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3、税收缴纳证明：供应商提供投标截止日前半年内已缴纳任意1个月的纳税证明或完税证明（任意税种），依法免税的单位应提供相关的证明材料。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4、社会保障资金缴纳证明：供应商提供投标截止日前半年内已缴存的任意1个月的社会保障资金缴存单据或社保机构开具的社会保险参保缴费情况证明；依法不需要缴纳社会保障资金的单位应提供相关证明材料。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5、供应商资质要求：供应商应具备行政主管部门颁发的建筑工程施工总承包三级（含三级）或建筑装修装饰工程专业承包二级（含二级）以上资质证书，同时具有合格有效的安全生产许可证</w:t>
      </w:r>
    </w:p>
    <w:p>
      <w:pPr>
        <w:pStyle w:val="null3"/>
      </w:pPr>
      <w:r>
        <w:rPr>
          <w:rFonts w:ascii="仿宋_GB2312" w:hAnsi="仿宋_GB2312" w:cs="仿宋_GB2312" w:eastAsia="仿宋_GB2312"/>
        </w:rPr>
        <w:t>6、拟派项目经理资质和专业要求：拟派项目经理应具有建筑工程二级及以上注册 建造师执业资格，具有有效的安全生产考核合格证书（B 证），在本单位注册且无在建工程（提供无在建项目承诺书）</w:t>
      </w:r>
    </w:p>
    <w:p>
      <w:pPr>
        <w:pStyle w:val="null3"/>
      </w:pPr>
      <w:r>
        <w:rPr>
          <w:rFonts w:ascii="仿宋_GB2312" w:hAnsi="仿宋_GB2312" w:cs="仿宋_GB2312" w:eastAsia="仿宋_GB2312"/>
        </w:rPr>
        <w:t>7、无重大违法记录书面声明：提供参加政府采购活动前3年内在经营活动中没有重大违法记录的书面声明。</w:t>
      </w:r>
    </w:p>
    <w:p>
      <w:pPr>
        <w:pStyle w:val="null3"/>
      </w:pPr>
      <w:r>
        <w:rPr>
          <w:rFonts w:ascii="仿宋_GB2312" w:hAnsi="仿宋_GB2312" w:cs="仿宋_GB2312" w:eastAsia="仿宋_GB2312"/>
        </w:rPr>
        <w:t>8、履约承诺：供具有履行合同所必需的设备和专业技术能力的承诺函。</w:t>
      </w:r>
    </w:p>
    <w:p>
      <w:pPr>
        <w:pStyle w:val="null3"/>
      </w:pPr>
      <w:r>
        <w:rPr>
          <w:rFonts w:ascii="仿宋_GB2312" w:hAnsi="仿宋_GB2312" w:cs="仿宋_GB2312" w:eastAsia="仿宋_GB2312"/>
        </w:rPr>
        <w:t>9、信誉要求：供应商未被列入“信用中国”网站记录的“失信被执行人”“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10、授权书：法定代表人授权书及被授权人身份证明。（法定代表人直接参与投标只须提供其身份证明）。</w:t>
      </w:r>
    </w:p>
    <w:p>
      <w:pPr>
        <w:pStyle w:val="null3"/>
      </w:pPr>
      <w:r>
        <w:rPr>
          <w:rFonts w:ascii="仿宋_GB2312" w:hAnsi="仿宋_GB2312" w:cs="仿宋_GB2312" w:eastAsia="仿宋_GB2312"/>
        </w:rPr>
        <w:t>11、联合体：本项目不接受联合体投标。供应商应提供《非联合体不分包投标声明》，视为独立投标，不分包。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商洛市人民政府驻西安办事处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陕西省西安市新城区长纓东路139号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商洛市人民政府驻西安办事处经办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029-82572800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商洛华瑞诚项目管理咨询有限公司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商洛市商州区全兴紫苑六号楼一单元101室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郭文博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13098221030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采购包1：698,240.79元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开户名称：商洛华瑞诚项目管理咨询有限公司</w:t>
            </w:r>
          </w:p>
          <w:p>
            <w:pPr>
              <w:pStyle w:val="null3"/>
            </w:pPr>
            <w:r>
              <w:rPr>
                <w:rFonts w:ascii="仿宋_GB2312" w:hAnsi="仿宋_GB2312" w:cs="仿宋_GB2312" w:eastAsia="仿宋_GB2312"/>
              </w:rPr>
              <w:t>开户银行：长安银行股份有限公司商洛分行</w:t>
            </w:r>
          </w:p>
          <w:p>
            <w:pPr>
              <w:pStyle w:val="null3"/>
            </w:pPr>
            <w:r>
              <w:rPr>
                <w:rFonts w:ascii="仿宋_GB2312" w:hAnsi="仿宋_GB2312" w:cs="仿宋_GB2312" w:eastAsia="仿宋_GB2312"/>
              </w:rPr>
              <w:t>银行账号：8060 9000 1421 0067 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调整后的招标代理服务收费标准》(发改价格〔2011〕534号)的规定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商洛市人民政府驻西安办事处</w:t>
      </w:r>
      <w:r>
        <w:rPr>
          <w:rFonts w:ascii="仿宋_GB2312" w:hAnsi="仿宋_GB2312" w:cs="仿宋_GB2312" w:eastAsia="仿宋_GB2312"/>
        </w:rPr>
        <w:t>和</w:t>
      </w:r>
      <w:r>
        <w:rPr>
          <w:rFonts w:ascii="仿宋_GB2312" w:hAnsi="仿宋_GB2312" w:cs="仿宋_GB2312" w:eastAsia="仿宋_GB2312"/>
        </w:rPr>
        <w:t>商洛华瑞诚项目管理咨询有限公司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商洛市人民政府驻西安办事处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商洛华瑞诚项目管理咨询有限公司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商洛市人民政府驻西安办事处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商洛华瑞诚项目管理咨询有限公司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商洛华瑞诚项目管理咨询有限公司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联系人：郭文博</w:t>
      </w:r>
    </w:p>
    <w:p>
      <w:pPr>
        <w:pStyle w:val="null3"/>
      </w:pPr>
      <w:r>
        <w:rPr>
          <w:rFonts w:ascii="仿宋_GB2312" w:hAnsi="仿宋_GB2312" w:cs="仿宋_GB2312" w:eastAsia="仿宋_GB2312"/>
        </w:rPr>
        <w:t>联系电话：13098221030</w:t>
      </w:r>
    </w:p>
    <w:p>
      <w:pPr>
        <w:pStyle w:val="null3"/>
      </w:pPr>
      <w:r>
        <w:rPr>
          <w:rFonts w:ascii="仿宋_GB2312" w:hAnsi="仿宋_GB2312" w:cs="仿宋_GB2312" w:eastAsia="仿宋_GB2312"/>
        </w:rPr>
        <w:t>地址：商洛市商州区全兴紫苑6号楼1单元101室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698,240.79</w:t>
      </w:r>
    </w:p>
    <w:p>
      <w:pPr>
        <w:pStyle w:val="null3"/>
      </w:pPr>
      <w:r>
        <w:rPr>
          <w:rFonts w:ascii="仿宋_GB2312" w:hAnsi="仿宋_GB2312" w:cs="仿宋_GB2312" w:eastAsia="仿宋_GB2312"/>
        </w:rPr>
        <w:t>采购包最高限价（元）: 698,240.79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698240.79</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698,240.79</w:t>
            </w:r>
          </w:p>
        </w:tc>
        <w:tc>
          <w:tcPr>
            <w:tcW w:type="dxa" w:w="1384"/>
          </w:tcPr>
          <w:p>
            <w:pPr>
              <w:pStyle w:val="null3"/>
            </w:pPr>
            <w:r>
              <w:rPr>
                <w:rFonts w:ascii="仿宋_GB2312" w:hAnsi="仿宋_GB2312" w:cs="仿宋_GB2312" w:eastAsia="仿宋_GB2312"/>
              </w:rPr>
              <w:t>次</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标的名称：698240.79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符合国家质量标准：合格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 1.工期：30日历日，具体以甲方开工令为准 。 2.质保期：本项目竣工验收合格通过之日起贰年，各专业工程部分按国家要求的质保期执行； 3.实施地点：甲方指定地点； 4.付款方式： 进驻工地后 ，达到付款条件起 10 日内，支付合同总金额的 20.00%； 合同工程期内，按照工程施工进度进行支付，完成工程量 80 % ，达到付款条件起 10 日内，支付合同总金额的 50.00%；竣工验收合格后 ，达到付款条件起 10 日内，支付合同总金额的 17.00%；工程结算后 ，达到付款条件起 10 日内，支付合同总金额的 10.00%；质保期满 ，达到付款条件起 10 日内，支付合同总金额的 3.00%。 5、保修要求：①属于保修范围和内容的项目，承包人应在接到维修通知后， 1 天内派人维修，并于【24】小时完成维修，排除故障。发生紧急抢修事故，承包人应在接到事故通知后 4 小时内到达事故现场并于 3 小时内完成应急维修。若承包人未按前述期限响应并排除故障的，采购人有权委托第三方处理，所产生的费用由承包人承担。注：商务条款不允许负偏离。二、其他要求：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供应商应具备行政主管部门颁发的建筑工程施工总承包三级（含三级）或建筑装修装饰工程专业承包二级（含二级）以上资质证书，同时具有合格有效的安全生产许可证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拟派项目经理应具有建筑工程二级及以上注册 建造师执业资格，具有有效的安全生产考核合格证书（B 证），在本单位注册且无在建工程（提供无在建项目承诺书）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法定代表人授权书及被授权人身份证明。（法定代表人直接参与投标只须提供其身份证明）。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本项目不接受联合体投标。供应商应提供《非联合体不分包投标声明》，视为独立投标，不分包。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响应文件未按照磋商文件规定要求签署、盖章的；（2）磋商有效期未满足招标文件要求的；（3）报价超过磋商文件中规定的预算金额或者最高限价的；（4）对磋商文件商务、技术要求出现重大负偏离的；(5)法律、法规和磋商文件规定的其他无效情形。</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商务技术部分.docx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投标人提供2022年1月至今类似项目业绩，业绩证明材料以投标文件中提供的合同复印件为准。每提供1份得1分，满分5分。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即满足磋商文件要求且磋商价格最低的磋商报价为磋商基准价，其价格分为满分。其他供应商的价格分统一按照下列公式计算： 磋商报价得分=(磋商基准价／磋商报价)×40%×100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商务技术部分.docx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