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版本号：XZMT-2025026C20250917001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商洛市移动源大气环境执法监管能力提升项目-开展重点用车企业环保门禁监管系统升级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XZMT-2025026C</w:t>
      </w:r>
      <w:r>
        <w:br/>
      </w:r>
      <w:r>
        <w:br/>
      </w:r>
      <w:r>
        <w:br/>
      </w:r>
    </w:p>
    <w:p>
      <w:pPr>
        <w:pStyle w:val="null3"/>
        <w:jc w:val="center"/>
        <w:outlineLvl w:val="2"/>
      </w:pPr>
      <w:r>
        <w:rPr>
          <w:rFonts w:ascii="仿宋_GB2312" w:hAnsi="仿宋_GB2312" w:cs="仿宋_GB2312" w:eastAsia="仿宋_GB2312"/>
          <w:sz w:val="28"/>
          <w:b/>
        </w:rPr>
        <w:t>商洛市生态环境保护综合执法支队</w:t>
      </w:r>
    </w:p>
    <w:p>
      <w:pPr>
        <w:pStyle w:val="null3"/>
        <w:jc w:val="center"/>
        <w:outlineLvl w:val="2"/>
      </w:pPr>
      <w:r>
        <w:rPr>
          <w:rFonts w:ascii="仿宋_GB2312" w:hAnsi="仿宋_GB2312" w:cs="仿宋_GB2312" w:eastAsia="仿宋_GB2312"/>
          <w:sz w:val="28"/>
          <w:b/>
        </w:rPr>
        <w:t>陕西兴正明泰项目管理有限公司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陕西兴正明泰项目管理有限公司</w:t>
      </w:r>
      <w:r>
        <w:rPr>
          <w:rFonts w:ascii="仿宋_GB2312" w:hAnsi="仿宋_GB2312" w:cs="仿宋_GB2312" w:eastAsia="仿宋_GB2312"/>
        </w:rPr>
        <w:t>（以下简称“代理机构”）受</w:t>
      </w:r>
      <w:r>
        <w:rPr>
          <w:rFonts w:ascii="仿宋_GB2312" w:hAnsi="仿宋_GB2312" w:cs="仿宋_GB2312" w:eastAsia="仿宋_GB2312"/>
        </w:rPr>
        <w:t>商洛市生态环境保护综合执法支队</w:t>
      </w:r>
      <w:r>
        <w:rPr>
          <w:rFonts w:ascii="仿宋_GB2312" w:hAnsi="仿宋_GB2312" w:cs="仿宋_GB2312" w:eastAsia="仿宋_GB2312"/>
        </w:rPr>
        <w:t>委托，拟对</w:t>
      </w:r>
      <w:r>
        <w:rPr>
          <w:rFonts w:ascii="仿宋_GB2312" w:hAnsi="仿宋_GB2312" w:cs="仿宋_GB2312" w:eastAsia="仿宋_GB2312"/>
        </w:rPr>
        <w:t>商洛市移动源大气环境执法监管能力提升项目-开展重点用车企业环保门禁监管系统升级</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XZMT-2025026C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商洛市移动源大气环境执法监管能力提升项目-开展重点用车企业环保门禁监管系统升级</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建设重点用车企业环保门禁监管系统，不仅能够实现对车辆进出的实时监控和智能管控，还能为管理部门提供精准的数据支持等内容。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采购包1（商洛市移动源大气环境执法监管能力提升项目-开展重点用车企业环保门禁监管系统升级）：属于专门面向中小企业采购。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10、联合体：本项目不接受联合体投标；供应商需在项目电子化交易系统中按要求填写《承诺书》完成承诺并进行电子签章。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商洛市商州区名人街西段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17382551026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陕西兴正明泰项目管理有限公司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陕西省商洛市商州区州城路万达广场2号门对面翠湖明珠商住楼西边二楼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0914-2251000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说明：采购包1：缴纳 本采购包履约保证金为合同金额的10% 说明：中标供应商在与采购人签订合同前，须缴纳履约保证金。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代理服务费收费标准：参照《国家发展改革委办公厅颁发的关于招标代理服务费收费有关问题的通知》(发改办价格〔2002〕1980号)及《调整后的招标代理服务 收费标准》(发改价格〔2011〕534号)的有关规定计取。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商洛市生态环境保护综合执法支队</w:t>
      </w:r>
      <w:r>
        <w:rPr>
          <w:rFonts w:ascii="仿宋_GB2312" w:hAnsi="仿宋_GB2312" w:cs="仿宋_GB2312" w:eastAsia="仿宋_GB2312"/>
        </w:rPr>
        <w:t>和</w:t>
      </w:r>
      <w:r>
        <w:rPr>
          <w:rFonts w:ascii="仿宋_GB2312" w:hAnsi="仿宋_GB2312" w:cs="仿宋_GB2312" w:eastAsia="仿宋_GB2312"/>
        </w:rPr>
        <w:t>陕西兴正明泰项目管理有限公司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商洛市生态环境保护综合执法支队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陕西兴正明泰项目管理有限公司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陕西兴正明泰项目管理有限公司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180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w:t>
      </w:r>
    </w:p>
    <w:p>
      <w:pPr>
        <w:pStyle w:val="null3"/>
      </w:pPr>
      <w:r>
        <w:rPr>
          <w:rFonts w:ascii="仿宋_GB2312" w:hAnsi="仿宋_GB2312" w:cs="仿宋_GB2312" w:eastAsia="仿宋_GB2312"/>
        </w:rPr>
        <w:t>联系电话：0914-2251000</w:t>
      </w:r>
    </w:p>
    <w:p>
      <w:pPr>
        <w:pStyle w:val="null3"/>
      </w:pPr>
      <w:r>
        <w:rPr>
          <w:rFonts w:ascii="仿宋_GB2312" w:hAnsi="仿宋_GB2312" w:cs="仿宋_GB2312" w:eastAsia="仿宋_GB2312"/>
        </w:rPr>
        <w:t>地址：陕西省商洛市商州区州城路万达广场2号门对面翠湖明珠商住楼西边二楼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建设重点用车企业环保门禁监管系统，不仅能够实现对车辆进出的实时监控和智能管控，还能为管理部门提供精准的数据支持等内容。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项目建设包含以下三方面的内容：</w:t>
            </w:r>
          </w:p>
          <w:tbl>
            <w:tblPr>
              <w:tblBorders>
                <w:top w:val="none" w:color="000000" w:sz="4"/>
                <w:left w:val="none" w:color="000000" w:sz="4"/>
                <w:bottom w:val="none" w:color="000000" w:sz="4"/>
                <w:right w:val="none" w:color="000000" w:sz="4"/>
                <w:insideH w:val="none"/>
                <w:insideV w:val="none"/>
              </w:tblBorders>
            </w:tblPr>
            <w:tblGrid>
              <w:gridCol w:w="190"/>
              <w:gridCol w:w="2043"/>
              <w:gridCol w:w="310"/>
            </w:tblGrid>
            <w:tr>
              <w:tc>
                <w:tcPr>
                  <w:tcW w:type="dxa" w:w="1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0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3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重点用车企业环保门禁监管平台升级：</w:t>
                  </w:r>
                  <w:r>
                    <w:rPr>
                      <w:rFonts w:ascii="仿宋_GB2312" w:hAnsi="仿宋_GB2312" w:cs="仿宋_GB2312" w:eastAsia="仿宋_GB2312"/>
                      <w:sz w:val="22"/>
                    </w:rPr>
                    <w:t>在常规管控状态下，</w:t>
                  </w:r>
                  <w:r>
                    <w:rPr>
                      <w:rFonts w:ascii="仿宋_GB2312" w:hAnsi="仿宋_GB2312" w:cs="仿宋_GB2312" w:eastAsia="仿宋_GB2312"/>
                      <w:sz w:val="22"/>
                    </w:rPr>
                    <w:t>市级</w:t>
                  </w:r>
                  <w:r>
                    <w:rPr>
                      <w:rFonts w:ascii="仿宋_GB2312" w:hAnsi="仿宋_GB2312" w:cs="仿宋_GB2312" w:eastAsia="仿宋_GB2312"/>
                      <w:sz w:val="22"/>
                    </w:rPr>
                    <w:t>监管平台接收企业</w:t>
                  </w:r>
                  <w:r>
                    <w:rPr>
                      <w:rFonts w:ascii="仿宋_GB2312" w:hAnsi="仿宋_GB2312" w:cs="仿宋_GB2312" w:eastAsia="仿宋_GB2312"/>
                      <w:sz w:val="22"/>
                    </w:rPr>
                    <w:t>端</w:t>
                  </w:r>
                  <w:r>
                    <w:rPr>
                      <w:rFonts w:ascii="仿宋_GB2312" w:hAnsi="仿宋_GB2312" w:cs="仿宋_GB2312" w:eastAsia="仿宋_GB2312"/>
                      <w:sz w:val="22"/>
                    </w:rPr>
                    <w:t>环保门禁及视频</w:t>
                  </w:r>
                  <w:r>
                    <w:rPr>
                      <w:rFonts w:ascii="仿宋_GB2312" w:hAnsi="仿宋_GB2312" w:cs="仿宋_GB2312" w:eastAsia="仿宋_GB2312"/>
                      <w:sz w:val="22"/>
                    </w:rPr>
                    <w:t>监控软件系统</w:t>
                  </w:r>
                  <w:r>
                    <w:rPr>
                      <w:rFonts w:ascii="仿宋_GB2312" w:hAnsi="仿宋_GB2312" w:cs="仿宋_GB2312" w:eastAsia="仿宋_GB2312"/>
                      <w:sz w:val="22"/>
                    </w:rPr>
                    <w:t>进出厂车辆基本信息，进出企业的运输车辆按本企业策略进行管理，监管平台不进行管控。在重污染应急管控状态下，监管平台下发预警级别、车辆黑名单，以及企业</w:t>
                  </w:r>
                  <w:r>
                    <w:rPr>
                      <w:rFonts w:ascii="仿宋_GB2312" w:hAnsi="仿宋_GB2312" w:cs="仿宋_GB2312" w:eastAsia="仿宋_GB2312"/>
                      <w:sz w:val="22"/>
                    </w:rPr>
                    <w:t>“一企一策”，企业按监管平台管控策略要求对车辆管控，严格控制运输车辆的进出，对于违规车辆，道闸锁定。当存在人工抬杆放行车辆时，系统发出违规报警，监管平台接收违规进出车辆的关键照片及视频。</w:t>
                  </w:r>
                  <w:r>
                    <w:rPr>
                      <w:rFonts w:ascii="仿宋_GB2312" w:hAnsi="仿宋_GB2312" w:cs="仿宋_GB2312" w:eastAsia="仿宋_GB2312"/>
                      <w:sz w:val="22"/>
                    </w:rPr>
                    <w:t>按照国、省标准进行升级，预留省级平台接口。质保</w:t>
                  </w:r>
                  <w:r>
                    <w:rPr>
                      <w:rFonts w:ascii="仿宋_GB2312" w:hAnsi="仿宋_GB2312" w:cs="仿宋_GB2312" w:eastAsia="仿宋_GB2312"/>
                      <w:sz w:val="22"/>
                    </w:rPr>
                    <w:t>2年</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监管端</w:t>
                  </w:r>
                  <w:r>
                    <w:rPr>
                      <w:rFonts w:ascii="仿宋_GB2312" w:hAnsi="仿宋_GB2312" w:cs="仿宋_GB2312" w:eastAsia="仿宋_GB2312"/>
                      <w:sz w:val="22"/>
                    </w:rPr>
                    <w:t>VPN</w:t>
                  </w:r>
                  <w:r>
                    <w:rPr>
                      <w:rFonts w:ascii="仿宋_GB2312" w:hAnsi="仿宋_GB2312" w:cs="仿宋_GB2312" w:eastAsia="仿宋_GB2312"/>
                      <w:sz w:val="22"/>
                    </w:rPr>
                    <w:t>（</w:t>
                  </w:r>
                  <w:r>
                    <w:rPr>
                      <w:rFonts w:ascii="仿宋_GB2312" w:hAnsi="仿宋_GB2312" w:cs="仿宋_GB2312" w:eastAsia="仿宋_GB2312"/>
                      <w:sz w:val="22"/>
                    </w:rPr>
                    <w:t>应包含：</w:t>
                  </w:r>
                  <w:r>
                    <w:rPr>
                      <w:rFonts w:ascii="仿宋_GB2312" w:hAnsi="仿宋_GB2312" w:cs="仿宋_GB2312" w:eastAsia="仿宋_GB2312"/>
                      <w:sz w:val="22"/>
                    </w:rPr>
                    <w:t>防火墙软件基础级</w:t>
                  </w:r>
                  <w:r>
                    <w:rPr>
                      <w:rFonts w:ascii="仿宋_GB2312" w:hAnsi="仿宋_GB2312" w:cs="仿宋_GB2312" w:eastAsia="仿宋_GB2312"/>
                      <w:sz w:val="22"/>
                    </w:rPr>
                    <w:t>(*1套)</w:t>
                  </w:r>
                  <w:r>
                    <w:rPr>
                      <w:rFonts w:ascii="仿宋_GB2312" w:hAnsi="仿宋_GB2312" w:cs="仿宋_GB2312" w:eastAsia="仿宋_GB2312"/>
                      <w:sz w:val="22"/>
                    </w:rPr>
                    <w:t>；</w:t>
                  </w:r>
                  <w:r>
                    <w:rPr>
                      <w:rFonts w:ascii="仿宋_GB2312" w:hAnsi="仿宋_GB2312" w:cs="仿宋_GB2312" w:eastAsia="仿宋_GB2312"/>
                      <w:sz w:val="22"/>
                    </w:rPr>
                    <w:t>路由器（</w:t>
                  </w:r>
                  <w:r>
                    <w:rPr>
                      <w:rFonts w:ascii="仿宋_GB2312" w:hAnsi="仿宋_GB2312" w:cs="仿宋_GB2312" w:eastAsia="仿宋_GB2312"/>
                      <w:sz w:val="22"/>
                    </w:rPr>
                    <w:t>*1套</w:t>
                  </w:r>
                  <w:r>
                    <w:rPr>
                      <w:rFonts w:ascii="仿宋_GB2312" w:hAnsi="仿宋_GB2312" w:cs="仿宋_GB2312" w:eastAsia="仿宋_GB2312"/>
                      <w:sz w:val="22"/>
                    </w:rPr>
                    <w:t>）；</w:t>
                  </w:r>
                  <w:r>
                    <w:rPr>
                      <w:rFonts w:ascii="仿宋_GB2312" w:hAnsi="仿宋_GB2312" w:cs="仿宋_GB2312" w:eastAsia="仿宋_GB2312"/>
                      <w:sz w:val="22"/>
                    </w:rPr>
                    <w:t>多线路模块</w:t>
                  </w:r>
                  <w:r>
                    <w:rPr>
                      <w:rFonts w:ascii="仿宋_GB2312" w:hAnsi="仿宋_GB2312" w:cs="仿宋_GB2312" w:eastAsia="仿宋_GB2312"/>
                      <w:sz w:val="22"/>
                    </w:rPr>
                    <w:t>(*100套)</w:t>
                  </w:r>
                  <w:r>
                    <w:rPr>
                      <w:rFonts w:ascii="仿宋_GB2312" w:hAnsi="仿宋_GB2312" w:cs="仿宋_GB2312" w:eastAsia="仿宋_GB2312"/>
                      <w:sz w:val="22"/>
                    </w:rPr>
                    <w:t>；</w:t>
                  </w:r>
                  <w:r>
                    <w:rPr>
                      <w:rFonts w:ascii="仿宋_GB2312" w:hAnsi="仿宋_GB2312" w:cs="仿宋_GB2312" w:eastAsia="仿宋_GB2312"/>
                      <w:sz w:val="22"/>
                    </w:rPr>
                    <w:t>云智订阅软件</w:t>
                  </w:r>
                  <w:r>
                    <w:rPr>
                      <w:rFonts w:ascii="仿宋_GB2312" w:hAnsi="仿宋_GB2312" w:cs="仿宋_GB2312" w:eastAsia="仿宋_GB2312"/>
                      <w:sz w:val="22"/>
                    </w:rPr>
                    <w:t>(*3套);</w:t>
                  </w:r>
                  <w:r>
                    <w:rPr>
                      <w:rFonts w:ascii="仿宋_GB2312" w:hAnsi="仿宋_GB2312" w:cs="仿宋_GB2312" w:eastAsia="仿宋_GB2312"/>
                      <w:sz w:val="22"/>
                    </w:rPr>
                    <w:t>）。</w:t>
                  </w:r>
                  <w:r>
                    <w:rPr>
                      <w:rFonts w:ascii="仿宋_GB2312" w:hAnsi="仿宋_GB2312" w:cs="仿宋_GB2312" w:eastAsia="仿宋_GB2312"/>
                      <w:sz w:val="22"/>
                    </w:rPr>
                    <w:t>质保</w:t>
                  </w:r>
                  <w:r>
                    <w:rPr>
                      <w:rFonts w:ascii="仿宋_GB2312" w:hAnsi="仿宋_GB2312" w:cs="仿宋_GB2312" w:eastAsia="仿宋_GB2312"/>
                      <w:sz w:val="22"/>
                    </w:rPr>
                    <w:t>3年</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50家企业端环保门禁及视频</w:t>
                  </w:r>
                  <w:r>
                    <w:rPr>
                      <w:rFonts w:ascii="仿宋_GB2312" w:hAnsi="仿宋_GB2312" w:cs="仿宋_GB2312" w:eastAsia="仿宋_GB2312"/>
                      <w:sz w:val="22"/>
                    </w:rPr>
                    <w:t>监控软件系统</w:t>
                  </w:r>
                  <w:r>
                    <w:rPr>
                      <w:rFonts w:ascii="仿宋_GB2312" w:hAnsi="仿宋_GB2312" w:cs="仿宋_GB2312" w:eastAsia="仿宋_GB2312"/>
                      <w:sz w:val="22"/>
                    </w:rPr>
                    <w:t>软件安装部署及调试，实现与市局监管平台对接联网。质保</w:t>
                  </w:r>
                  <w:r>
                    <w:rPr>
                      <w:rFonts w:ascii="仿宋_GB2312" w:hAnsi="仿宋_GB2312" w:cs="仿宋_GB2312" w:eastAsia="仿宋_GB2312"/>
                      <w:sz w:val="22"/>
                    </w:rPr>
                    <w:t>1年</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r>
                    <w:rPr>
                      <w:rFonts w:ascii="仿宋_GB2312" w:hAnsi="仿宋_GB2312" w:cs="仿宋_GB2312" w:eastAsia="仿宋_GB2312"/>
                      <w:sz w:val="22"/>
                    </w:rPr>
                    <w:t>套</w:t>
                  </w:r>
                </w:p>
              </w:tc>
            </w:tr>
          </w:tbl>
          <w:p>
            <w:pPr>
              <w:pStyle w:val="null3"/>
              <w:spacing w:before="150" w:after="150"/>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重点用车企业环保门禁监管平台升级</w:t>
            </w:r>
          </w:p>
          <w:p>
            <w:pPr>
              <w:pStyle w:val="null3"/>
              <w:ind w:firstLine="560"/>
              <w:jc w:val="both"/>
            </w:pPr>
            <w:r>
              <w:rPr>
                <w:rFonts w:ascii="仿宋_GB2312" w:hAnsi="仿宋_GB2312" w:cs="仿宋_GB2312" w:eastAsia="仿宋_GB2312"/>
                <w:sz w:val="28"/>
                <w:color w:val="000000"/>
              </w:rPr>
              <w:t>此章节是按照《陕西省重点用车企业环保门禁及视频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建设技术指南（试行）》对监管端平台提出建设要求。</w:t>
            </w:r>
          </w:p>
          <w:p>
            <w:pPr>
              <w:pStyle w:val="null3"/>
              <w:numPr>
                <w:ilvl w:val="0"/>
                <w:numId w:val="1"/>
              </w:numPr>
              <w:jc w:val="both"/>
            </w:pPr>
            <w:r>
              <w:rPr>
                <w:rFonts w:ascii="仿宋_GB2312" w:hAnsi="仿宋_GB2312" w:cs="仿宋_GB2312" w:eastAsia="仿宋_GB2312"/>
                <w:sz w:val="28"/>
                <w:b/>
                <w:color w:val="000000"/>
              </w:rPr>
              <w:t>与现有系统的关系</w:t>
            </w:r>
          </w:p>
          <w:p>
            <w:pPr>
              <w:pStyle w:val="null3"/>
              <w:ind w:firstLine="560"/>
              <w:jc w:val="both"/>
            </w:pPr>
            <w:r>
              <w:rPr>
                <w:rFonts w:ascii="仿宋_GB2312" w:hAnsi="仿宋_GB2312" w:cs="仿宋_GB2312" w:eastAsia="仿宋_GB2312"/>
                <w:sz w:val="28"/>
                <w:color w:val="000000"/>
              </w:rPr>
              <w:t>继承与扩展：本次升级改造将在原有系统的基础上，继承并扩展其功能。原</w:t>
            </w:r>
            <w:r>
              <w:rPr>
                <w:rFonts w:ascii="仿宋_GB2312" w:hAnsi="仿宋_GB2312" w:cs="仿宋_GB2312" w:eastAsia="仿宋_GB2312"/>
                <w:sz w:val="28"/>
                <w:color w:val="000000"/>
              </w:rPr>
              <w:t>2023年2月验收建成的大宗物料运输企业门禁系统已具备车辆基本信息管理、管控策略下发、企业数据查询三个基础模块，按照2023年11月发布的国、省最新的标准《重点行业移动源监管与核查技术指南》（HJ-1321-2023)和《陕西省重点用车企业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建设技术指南（试行）》（陕环发〔</w:t>
            </w:r>
            <w:r>
              <w:rPr>
                <w:rFonts w:ascii="仿宋_GB2312" w:hAnsi="仿宋_GB2312" w:cs="仿宋_GB2312" w:eastAsia="仿宋_GB2312"/>
                <w:sz w:val="28"/>
                <w:color w:val="000000"/>
              </w:rPr>
              <w:t>2023〕64号），增补缺失的11个模块，包括但不限于数据查询与汇总、进出厂车辆台账、实时视频监控等，以形成更加完善的环保门禁监管体系。</w:t>
            </w:r>
          </w:p>
          <w:p>
            <w:pPr>
              <w:pStyle w:val="null3"/>
              <w:ind w:firstLine="560"/>
              <w:jc w:val="both"/>
            </w:pPr>
            <w:r>
              <w:rPr>
                <w:rFonts w:ascii="仿宋_GB2312" w:hAnsi="仿宋_GB2312" w:cs="仿宋_GB2312" w:eastAsia="仿宋_GB2312"/>
                <w:sz w:val="28"/>
                <w:color w:val="000000"/>
              </w:rPr>
              <w:t>数据兼容与迁移：升级改造过程中，需确保新旧系统间的数据兼容与无缝迁移。通过数据转换工具和迁移策略，将原系统中的有效数据迁移至新系统，同时保持数据的完整性和准确性。</w:t>
            </w:r>
          </w:p>
          <w:p>
            <w:pPr>
              <w:pStyle w:val="null3"/>
              <w:numPr>
                <w:ilvl w:val="0"/>
                <w:numId w:val="1"/>
              </w:numPr>
              <w:jc w:val="both"/>
            </w:pPr>
            <w:r>
              <w:rPr>
                <w:rFonts w:ascii="仿宋_GB2312" w:hAnsi="仿宋_GB2312" w:cs="仿宋_GB2312" w:eastAsia="仿宋_GB2312"/>
                <w:sz w:val="28"/>
                <w:b/>
                <w:color w:val="000000"/>
              </w:rPr>
              <w:t>市级监管平台升级功能要求</w:t>
            </w:r>
          </w:p>
          <w:p>
            <w:pPr>
              <w:pStyle w:val="null3"/>
              <w:ind w:firstLine="560"/>
              <w:jc w:val="both"/>
            </w:pPr>
            <w:r>
              <w:rPr>
                <w:rFonts w:ascii="仿宋_GB2312" w:hAnsi="仿宋_GB2312" w:cs="仿宋_GB2312" w:eastAsia="仿宋_GB2312"/>
                <w:sz w:val="28"/>
                <w:color w:val="000000"/>
              </w:rPr>
              <w:t>应具备基本信息管理、管控策略下发、异常车辆名单管理、车辆信息校验、疑似问题车辆管理、违规报警、统计查询和评估等功能。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.1.基本信息管理功能</w:t>
            </w:r>
          </w:p>
          <w:p>
            <w:pPr>
              <w:pStyle w:val="null3"/>
              <w:ind w:firstLine="560"/>
              <w:jc w:val="both"/>
            </w:pPr>
            <w:r>
              <w:rPr>
                <w:rFonts w:ascii="仿宋_GB2312" w:hAnsi="仿宋_GB2312" w:cs="仿宋_GB2312" w:eastAsia="仿宋_GB2312"/>
                <w:sz w:val="28"/>
                <w:color w:val="000000"/>
              </w:rPr>
              <w:t>应具备对重点用车企业基本信息管理、重点用车企业编号管理功能。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.2.车辆信息校验管理功能</w:t>
            </w:r>
          </w:p>
          <w:p>
            <w:pPr>
              <w:pStyle w:val="null3"/>
              <w:ind w:firstLine="560"/>
              <w:jc w:val="both"/>
            </w:pPr>
            <w:r>
              <w:rPr>
                <w:rFonts w:ascii="仿宋_GB2312" w:hAnsi="仿宋_GB2312" w:cs="仿宋_GB2312" w:eastAsia="仿宋_GB2312"/>
                <w:sz w:val="28"/>
                <w:color w:val="000000"/>
              </w:rPr>
              <w:t>应具备对重点用车企业系统上报数据完整性进行校验，对准确性和真实性进行抽查的功能，校验、抽查的内容主要包括车辆信息、车辆是否属于异常车辆等关键内容。</w:t>
            </w:r>
          </w:p>
          <w:p>
            <w:pPr>
              <w:pStyle w:val="null3"/>
              <w:ind w:firstLine="560"/>
              <w:jc w:val="both"/>
            </w:pPr>
            <w:r>
              <w:rPr>
                <w:rFonts w:ascii="仿宋_GB2312" w:hAnsi="仿宋_GB2312" w:cs="仿宋_GB2312" w:eastAsia="仿宋_GB2312"/>
                <w:sz w:val="28"/>
                <w:color w:val="000000"/>
              </w:rPr>
              <w:t>信息校验可通过机动车和非道路移动机械环保信息查询平台、公安交管共享数据以及省、市生态环境主管部门机动车环保定期检验、路检路查、入户检查、尾气遥感监测、黑烟举报等数据进行校验。</w:t>
            </w:r>
          </w:p>
          <w:p>
            <w:pPr>
              <w:pStyle w:val="null3"/>
              <w:ind w:firstLine="560"/>
              <w:jc w:val="both"/>
            </w:pPr>
            <w:r>
              <w:rPr>
                <w:rFonts w:ascii="仿宋_GB2312" w:hAnsi="仿宋_GB2312" w:cs="仿宋_GB2312" w:eastAsia="仿宋_GB2312"/>
                <w:sz w:val="28"/>
                <w:color w:val="000000"/>
              </w:rPr>
              <w:t>校验后形成疑似问题车辆名单，实时下发给重点用车企业系统。</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.3.管控策略审核下发功能</w:t>
            </w:r>
          </w:p>
          <w:p>
            <w:pPr>
              <w:pStyle w:val="null3"/>
              <w:ind w:firstLine="560"/>
              <w:jc w:val="both"/>
            </w:pPr>
            <w:r>
              <w:rPr>
                <w:rFonts w:ascii="仿宋_GB2312" w:hAnsi="仿宋_GB2312" w:cs="仿宋_GB2312" w:eastAsia="仿宋_GB2312"/>
                <w:sz w:val="28"/>
                <w:color w:val="000000"/>
              </w:rPr>
              <w:t>应具备对重点用车企业系统上报的管控措施审核功能，对未通过审核的管控措施，退回重点用车企业系统。</w:t>
            </w:r>
          </w:p>
          <w:p>
            <w:pPr>
              <w:pStyle w:val="null3"/>
              <w:ind w:firstLine="560"/>
              <w:jc w:val="both"/>
            </w:pPr>
            <w:r>
              <w:rPr>
                <w:rFonts w:ascii="仿宋_GB2312" w:hAnsi="仿宋_GB2312" w:cs="仿宋_GB2312" w:eastAsia="仿宋_GB2312"/>
                <w:sz w:val="28"/>
                <w:color w:val="000000"/>
              </w:rPr>
              <w:t>应具备向重点用车企业系统下发重污染天气移动源管控策略的功能，监管平台应支持按地区、按行业类型批量导入、手动修改等便利的管控策略输入方式。</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.4.异常车辆管理功能</w:t>
            </w:r>
          </w:p>
          <w:p>
            <w:pPr>
              <w:pStyle w:val="null3"/>
              <w:ind w:firstLine="560"/>
              <w:jc w:val="both"/>
            </w:pPr>
            <w:r>
              <w:rPr>
                <w:rFonts w:ascii="仿宋_GB2312" w:hAnsi="仿宋_GB2312" w:cs="仿宋_GB2312" w:eastAsia="仿宋_GB2312"/>
                <w:sz w:val="28"/>
                <w:color w:val="000000"/>
              </w:rPr>
              <w:t>应具备接收省级监管平台下发的异常车辆名单功能，并向重点用车企业系统下发的功能。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.5.数据存储、统计汇总功能</w:t>
            </w:r>
          </w:p>
          <w:p>
            <w:pPr>
              <w:pStyle w:val="null3"/>
              <w:ind w:firstLine="560"/>
              <w:jc w:val="both"/>
            </w:pPr>
            <w:r>
              <w:rPr>
                <w:rFonts w:ascii="仿宋_GB2312" w:hAnsi="仿宋_GB2312" w:cs="仿宋_GB2312" w:eastAsia="仿宋_GB2312"/>
                <w:sz w:val="28"/>
                <w:color w:val="000000"/>
              </w:rPr>
              <w:t>应具备对重点用车企业上报数据存储和统计汇总的功能，便于实时监控。</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.6.数据查询功能</w:t>
            </w:r>
          </w:p>
          <w:p>
            <w:pPr>
              <w:pStyle w:val="null3"/>
              <w:ind w:firstLine="560"/>
              <w:jc w:val="both"/>
            </w:pPr>
            <w:r>
              <w:rPr>
                <w:rFonts w:ascii="仿宋_GB2312" w:hAnsi="仿宋_GB2312" w:cs="仿宋_GB2312" w:eastAsia="仿宋_GB2312"/>
                <w:sz w:val="28"/>
                <w:color w:val="000000"/>
              </w:rPr>
              <w:t>监管平台应具备对重点用车企业上报数据按行业类型、企业、时间、排放标准、燃料类型、管控策略、县（区、市）等多条件组合查询的功能。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.7.报警管理功能</w:t>
            </w:r>
          </w:p>
          <w:p>
            <w:pPr>
              <w:pStyle w:val="null3"/>
              <w:ind w:firstLine="560"/>
              <w:jc w:val="both"/>
            </w:pPr>
            <w:r>
              <w:rPr>
                <w:rFonts w:ascii="仿宋_GB2312" w:hAnsi="仿宋_GB2312" w:cs="仿宋_GB2312" w:eastAsia="仿宋_GB2312"/>
                <w:sz w:val="28"/>
                <w:color w:val="000000"/>
              </w:rPr>
              <w:t>应具备对违反管控策略车辆等信息通过短信或移动端方式推送报警信息，并自动保存车辆违规出入记录、抓拍图片等相关信息，作为违规问题的溯源档案，支撑执法监管。应具备企业端环保门禁及视频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运行维护异常、网络中断等的识别和报警功能。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.8.疑似问题车辆管理功能</w:t>
            </w:r>
          </w:p>
          <w:p>
            <w:pPr>
              <w:pStyle w:val="null3"/>
              <w:ind w:firstLine="560"/>
              <w:jc w:val="both"/>
            </w:pPr>
            <w:r>
              <w:rPr>
                <w:rFonts w:ascii="仿宋_GB2312" w:hAnsi="仿宋_GB2312" w:cs="仿宋_GB2312" w:eastAsia="仿宋_GB2312"/>
                <w:sz w:val="28"/>
                <w:color w:val="000000"/>
              </w:rPr>
              <w:t>应具备将疑似问题车辆名单更新管理、实时下发的功能。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.9.数据上报功能</w:t>
            </w:r>
          </w:p>
          <w:p>
            <w:pPr>
              <w:pStyle w:val="null3"/>
              <w:ind w:firstLine="560"/>
              <w:jc w:val="both"/>
            </w:pPr>
            <w:r>
              <w:rPr>
                <w:rFonts w:ascii="仿宋_GB2312" w:hAnsi="仿宋_GB2312" w:cs="仿宋_GB2312" w:eastAsia="仿宋_GB2312"/>
                <w:sz w:val="28"/>
                <w:color w:val="000000"/>
              </w:rPr>
              <w:t>应具备数据传输率（接受量</w:t>
            </w:r>
            <w:r>
              <w:rPr>
                <w:rFonts w:ascii="仿宋_GB2312" w:hAnsi="仿宋_GB2312" w:cs="仿宋_GB2312" w:eastAsia="仿宋_GB2312"/>
                <w:sz w:val="28"/>
                <w:color w:val="000000"/>
              </w:rPr>
              <w:t>/上报量）实时统计的功能，形成日报。数据传输率统计信息应在监管系统管理页面中实时呈现。应具备将数据上报至省级监管平台的功能。应具备发生电力或网络问题时，数据漏传报警功能；电力或网络恢复正常，平台应具备数据自动补传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.10.响应评估功能</w:t>
            </w:r>
          </w:p>
          <w:p>
            <w:pPr>
              <w:pStyle w:val="null3"/>
              <w:ind w:firstLine="560"/>
              <w:jc w:val="both"/>
            </w:pPr>
            <w:r>
              <w:rPr>
                <w:rFonts w:ascii="仿宋_GB2312" w:hAnsi="仿宋_GB2312" w:cs="仿宋_GB2312" w:eastAsia="仿宋_GB2312"/>
                <w:sz w:val="28"/>
                <w:color w:val="000000"/>
              </w:rPr>
              <w:t>应具备按照属地、行业类型、管控策略、企业等多条件组合统计日常运输情况（包括不同排放标准、燃料类型、进出车辆数、运输货物量等）、预警响应期间实际运输情况等内容的功能，并形成移动源减排措施评估报告。</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.11.车辆信息库</w:t>
            </w:r>
          </w:p>
          <w:p>
            <w:pPr>
              <w:pStyle w:val="null3"/>
              <w:ind w:firstLine="560"/>
              <w:jc w:val="both"/>
            </w:pPr>
            <w:r>
              <w:rPr>
                <w:rFonts w:ascii="仿宋_GB2312" w:hAnsi="仿宋_GB2312" w:cs="仿宋_GB2312" w:eastAsia="仿宋_GB2312"/>
                <w:sz w:val="28"/>
                <w:color w:val="000000"/>
              </w:rPr>
              <w:t>具备对重点用车企业系统上报的进出厂车辆、场内运输车辆、非道路移动机械车辆数据进行管理、查询与储存的功能。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.12.实时视频监控与回放功能</w:t>
            </w:r>
          </w:p>
          <w:p>
            <w:pPr>
              <w:pStyle w:val="null3"/>
              <w:ind w:firstLine="560"/>
              <w:jc w:val="both"/>
            </w:pPr>
            <w:r>
              <w:rPr>
                <w:rFonts w:ascii="仿宋_GB2312" w:hAnsi="仿宋_GB2312" w:cs="仿宋_GB2312" w:eastAsia="仿宋_GB2312"/>
                <w:sz w:val="28"/>
                <w:color w:val="000000"/>
              </w:rPr>
              <w:t>具备对重点用车企业的实时视频地址及历史视频回放进行查看和调阅的功能，作为违规问题的溯源档案，支撑执法监管。</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.13.运维申请审核</w:t>
            </w:r>
          </w:p>
          <w:p>
            <w:pPr>
              <w:pStyle w:val="null3"/>
              <w:ind w:firstLine="560"/>
              <w:jc w:val="both"/>
            </w:pPr>
            <w:r>
              <w:rPr>
                <w:rFonts w:ascii="仿宋_GB2312" w:hAnsi="仿宋_GB2312" w:cs="仿宋_GB2312" w:eastAsia="仿宋_GB2312"/>
                <w:sz w:val="28"/>
                <w:color w:val="000000"/>
              </w:rPr>
              <w:t>具备对重点用车企业上报的运维申请进行审核的功能。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.14.区县级应用及权限管理</w:t>
            </w:r>
          </w:p>
          <w:p>
            <w:pPr>
              <w:pStyle w:val="null3"/>
              <w:ind w:firstLine="560"/>
              <w:jc w:val="both"/>
            </w:pPr>
            <w:r>
              <w:rPr>
                <w:rFonts w:ascii="仿宋_GB2312" w:hAnsi="仿宋_GB2312" w:cs="仿宋_GB2312" w:eastAsia="仿宋_GB2312"/>
                <w:sz w:val="28"/>
                <w:color w:val="000000"/>
              </w:rPr>
              <w:t>具备开设区县级权限账号功能，能够灵活设置菜单权限及数据权限，同时记录账号的操作日志及登录日志。便于区县级人员对辖区内重点用车企业进行管理。</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.15.企业端数据传输接口</w:t>
            </w:r>
          </w:p>
          <w:p>
            <w:pPr>
              <w:pStyle w:val="null3"/>
              <w:ind w:firstLine="560"/>
              <w:jc w:val="both"/>
            </w:pPr>
            <w:r>
              <w:rPr>
                <w:rFonts w:ascii="仿宋_GB2312" w:hAnsi="仿宋_GB2312" w:cs="仿宋_GB2312" w:eastAsia="仿宋_GB2312"/>
                <w:sz w:val="28"/>
                <w:color w:val="000000"/>
              </w:rPr>
              <w:t>平台应按照《陕西省重点用车企业环保门禁及视频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建设技术指南（试行）》预留接口，支持企业</w:t>
            </w:r>
            <w:r>
              <w:rPr>
                <w:rFonts w:ascii="仿宋_GB2312" w:hAnsi="仿宋_GB2312" w:cs="仿宋_GB2312" w:eastAsia="仿宋_GB2312"/>
                <w:sz w:val="28"/>
                <w:color w:val="000000"/>
              </w:rPr>
              <w:t>端</w:t>
            </w:r>
            <w:r>
              <w:rPr>
                <w:rFonts w:ascii="仿宋_GB2312" w:hAnsi="仿宋_GB2312" w:cs="仿宋_GB2312" w:eastAsia="仿宋_GB2312"/>
                <w:sz w:val="28"/>
                <w:color w:val="000000"/>
              </w:rPr>
              <w:t>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数据传输至市级生态环境主管部门的监管平台。</w:t>
            </w:r>
          </w:p>
          <w:p>
            <w:pPr>
              <w:pStyle w:val="null3"/>
              <w:numPr>
                <w:ilvl w:val="0"/>
                <w:numId w:val="1"/>
              </w:numPr>
              <w:jc w:val="both"/>
            </w:pPr>
            <w:r>
              <w:rPr>
                <w:rFonts w:ascii="仿宋_GB2312" w:hAnsi="仿宋_GB2312" w:cs="仿宋_GB2312" w:eastAsia="仿宋_GB2312"/>
                <w:sz w:val="28"/>
                <w:b/>
                <w:color w:val="000000"/>
              </w:rPr>
              <w:t>网络环境要求</w:t>
            </w:r>
          </w:p>
          <w:p>
            <w:pPr>
              <w:pStyle w:val="null3"/>
              <w:ind w:firstLine="560"/>
              <w:jc w:val="both"/>
            </w:pPr>
            <w:r>
              <w:rPr>
                <w:rFonts w:ascii="仿宋_GB2312" w:hAnsi="仿宋_GB2312" w:cs="仿宋_GB2312" w:eastAsia="仿宋_GB2312"/>
                <w:sz w:val="28"/>
                <w:color w:val="000000"/>
              </w:rPr>
              <w:t>升级后的平台要求本地部署，部署地点：商洛市生态环境保护综合执法支队三楼机房原有的服务器，采用防火墙、入侵检测等安全设备和技术手段，防止外部攻击和数据泄露。同时需对系统内部进行安全隔离和访问控制，确保数据的安全性和完整性。</w:t>
            </w:r>
          </w:p>
          <w:p>
            <w:pPr>
              <w:pStyle w:val="null3"/>
              <w:numPr>
                <w:ilvl w:val="0"/>
                <w:numId w:val="1"/>
              </w:numPr>
              <w:jc w:val="both"/>
            </w:pPr>
            <w:r>
              <w:rPr>
                <w:rFonts w:ascii="仿宋_GB2312" w:hAnsi="仿宋_GB2312" w:cs="仿宋_GB2312" w:eastAsia="仿宋_GB2312"/>
                <w:sz w:val="28"/>
                <w:b/>
                <w:color w:val="000000"/>
              </w:rPr>
              <w:t>信息安全要求</w:t>
            </w:r>
          </w:p>
          <w:p>
            <w:pPr>
              <w:pStyle w:val="null3"/>
              <w:ind w:firstLine="560"/>
              <w:jc w:val="both"/>
            </w:pPr>
            <w:r>
              <w:rPr>
                <w:rFonts w:ascii="仿宋_GB2312" w:hAnsi="仿宋_GB2312" w:cs="仿宋_GB2312" w:eastAsia="仿宋_GB2312"/>
                <w:sz w:val="28"/>
                <w:color w:val="000000"/>
              </w:rPr>
              <w:t>数据加密与备份：升级改造后的系统需对敏感数据进行加密处理，以防止数据在传输和存储过程中被窃取或篡改。同时，需建立完善的备份机制，确保数据的可恢复性和安全性。</w:t>
            </w:r>
          </w:p>
          <w:p>
            <w:pPr>
              <w:pStyle w:val="null3"/>
              <w:ind w:firstLine="560"/>
              <w:jc w:val="both"/>
            </w:pPr>
            <w:r>
              <w:rPr>
                <w:rFonts w:ascii="仿宋_GB2312" w:hAnsi="仿宋_GB2312" w:cs="仿宋_GB2312" w:eastAsia="仿宋_GB2312"/>
                <w:sz w:val="28"/>
                <w:color w:val="000000"/>
              </w:rPr>
              <w:t>访问控制与审计：系统应建立完善的访问控制机制，对不同用户进行权限划分和身份认证。同时，需对系统操作进行日志记录和审计，以便追踪和调查任何异常行为。</w:t>
            </w:r>
          </w:p>
          <w:p>
            <w:pPr>
              <w:pStyle w:val="null3"/>
              <w:ind w:firstLine="560"/>
              <w:jc w:val="both"/>
            </w:pPr>
            <w:r>
              <w:rPr>
                <w:rFonts w:ascii="仿宋_GB2312" w:hAnsi="仿宋_GB2312" w:cs="仿宋_GB2312" w:eastAsia="仿宋_GB2312"/>
                <w:sz w:val="28"/>
                <w:color w:val="000000"/>
              </w:rPr>
              <w:t>应急响应与恢复：针对可能发生的系统故障或数据丢失等异常情况，需建立完善的应急响应机制和恢复策略。通过制定应急预案和演练计划，确保在发生异常情况时能够迅速恢复系统运行和数据完整性。</w:t>
            </w:r>
          </w:p>
          <w:p>
            <w:pPr>
              <w:pStyle w:val="null3"/>
              <w:spacing w:before="150" w:after="150"/>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监管端</w:t>
            </w:r>
            <w:r>
              <w:rPr>
                <w:rFonts w:ascii="仿宋_GB2312" w:hAnsi="仿宋_GB2312" w:cs="仿宋_GB2312" w:eastAsia="仿宋_GB2312"/>
                <w:sz w:val="28"/>
                <w:b/>
                <w:color w:val="000000"/>
              </w:rPr>
              <w:t>VPN要求</w:t>
            </w:r>
          </w:p>
          <w:p>
            <w:pPr>
              <w:pStyle w:val="null3"/>
              <w:ind w:firstLine="560"/>
              <w:jc w:val="both"/>
            </w:pPr>
            <w:r>
              <w:rPr>
                <w:rFonts w:ascii="仿宋_GB2312" w:hAnsi="仿宋_GB2312" w:cs="仿宋_GB2312" w:eastAsia="仿宋_GB2312"/>
                <w:sz w:val="28"/>
                <w:color w:val="000000"/>
              </w:rPr>
              <w:t>性能参数：网络层吞吐量：</w:t>
            </w:r>
            <w:r>
              <w:rPr>
                <w:rFonts w:ascii="仿宋_GB2312" w:hAnsi="仿宋_GB2312" w:cs="仿宋_GB2312" w:eastAsia="仿宋_GB2312"/>
                <w:sz w:val="28"/>
                <w:color w:val="000000"/>
              </w:rPr>
              <w:t>10G，应用层吞吐量：5G，防病毒吞吐量：1G，IPS吞吐量：800M，全威胁吞吐量：600M，并发连接数：200万，HTTP新建连接数：6万，SSL VPN推荐用户数（单独购买）：20，SSL VPN最大用户数（单独购买）：60，SSL VPN最大理论加密流量（单独购买）：200M，IPSec VPN 最大接入数：800，IPSec VPN吞吐量：500M。</w:t>
            </w:r>
          </w:p>
          <w:p>
            <w:pPr>
              <w:pStyle w:val="null3"/>
              <w:ind w:firstLine="560"/>
              <w:jc w:val="both"/>
            </w:pPr>
            <w:r>
              <w:rPr>
                <w:rFonts w:ascii="仿宋_GB2312" w:hAnsi="仿宋_GB2312" w:cs="仿宋_GB2312" w:eastAsia="仿宋_GB2312"/>
                <w:sz w:val="28"/>
                <w:color w:val="000000"/>
              </w:rPr>
              <w:t>硬件参数：规格：</w:t>
            </w:r>
            <w:r>
              <w:rPr>
                <w:rFonts w:ascii="仿宋_GB2312" w:hAnsi="仿宋_GB2312" w:cs="仿宋_GB2312" w:eastAsia="仿宋_GB2312"/>
                <w:sz w:val="28"/>
                <w:color w:val="000000"/>
              </w:rPr>
              <w:t>1U，内存大小：8G，硬盘容量：128G SSD，电源：单电源，接口：8千兆电口+2万兆光口SFP+。</w:t>
            </w:r>
          </w:p>
          <w:p>
            <w:pPr>
              <w:pStyle w:val="null3"/>
              <w:spacing w:before="150" w:after="150"/>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企业端环保门禁及视频</w:t>
            </w:r>
            <w:r>
              <w:rPr>
                <w:rFonts w:ascii="仿宋_GB2312" w:hAnsi="仿宋_GB2312" w:cs="仿宋_GB2312" w:eastAsia="仿宋_GB2312"/>
                <w:sz w:val="28"/>
                <w:b/>
                <w:color w:val="000000"/>
              </w:rPr>
              <w:t>监控软件系统</w:t>
            </w:r>
          </w:p>
          <w:p>
            <w:pPr>
              <w:pStyle w:val="null3"/>
              <w:numPr>
                <w:ilvl w:val="0"/>
                <w:numId w:val="1"/>
              </w:numPr>
              <w:jc w:val="both"/>
            </w:pPr>
            <w:r>
              <w:rPr>
                <w:rFonts w:ascii="仿宋_GB2312" w:hAnsi="仿宋_GB2312" w:cs="仿宋_GB2312" w:eastAsia="仿宋_GB2312"/>
                <w:sz w:val="28"/>
                <w:b/>
                <w:color w:val="000000"/>
              </w:rPr>
              <w:t>功能要求</w:t>
            </w:r>
          </w:p>
          <w:p>
            <w:pPr>
              <w:pStyle w:val="null3"/>
              <w:ind w:firstLine="560"/>
              <w:jc w:val="both"/>
            </w:pPr>
            <w:r>
              <w:rPr>
                <w:rFonts w:ascii="仿宋_GB2312" w:hAnsi="仿宋_GB2312" w:cs="仿宋_GB2312" w:eastAsia="仿宋_GB2312"/>
                <w:sz w:val="28"/>
                <w:color w:val="000000"/>
              </w:rPr>
              <w:t>企业端环保门禁及视频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应具备车辆信息采集和审核、信息校验、进出厂管理、信息统计、照片采集、视频监控、数据储存和交换等功能。</w:t>
            </w:r>
          </w:p>
          <w:p>
            <w:pPr>
              <w:pStyle w:val="null3"/>
              <w:ind w:firstLine="560"/>
              <w:jc w:val="both"/>
            </w:pPr>
            <w:r>
              <w:rPr>
                <w:rFonts w:ascii="仿宋_GB2312" w:hAnsi="仿宋_GB2312" w:cs="仿宋_GB2312" w:eastAsia="仿宋_GB2312"/>
                <w:sz w:val="28"/>
                <w:color w:val="000000"/>
              </w:rPr>
              <w:t>1.1.企业信息管理功能</w:t>
            </w:r>
          </w:p>
          <w:p>
            <w:pPr>
              <w:pStyle w:val="null3"/>
              <w:ind w:firstLine="560"/>
              <w:jc w:val="both"/>
            </w:pPr>
            <w:r>
              <w:rPr>
                <w:rFonts w:ascii="仿宋_GB2312" w:hAnsi="仿宋_GB2312" w:cs="仿宋_GB2312" w:eastAsia="仿宋_GB2312"/>
                <w:sz w:val="28"/>
                <w:color w:val="000000"/>
              </w:rPr>
              <w:t>系统应具备企业基本信息、道闸信息、视频监控设备信息、车辆信息、运输管理信息等信息维护管理功能。上述信息应实时上报，字段格式符合附录《陕西省重点用车企业环保门禁及视频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建设技术指南（试行）》陕环发〔</w:t>
            </w:r>
            <w:r>
              <w:rPr>
                <w:rFonts w:ascii="仿宋_GB2312" w:hAnsi="仿宋_GB2312" w:cs="仿宋_GB2312" w:eastAsia="仿宋_GB2312"/>
                <w:sz w:val="28"/>
                <w:color w:val="000000"/>
              </w:rPr>
              <w:t>2023〕64号文件中 A 表 A.1 要求。</w:t>
            </w:r>
          </w:p>
          <w:p>
            <w:pPr>
              <w:pStyle w:val="null3"/>
              <w:ind w:firstLine="560"/>
              <w:jc w:val="both"/>
            </w:pPr>
            <w:r>
              <w:rPr>
                <w:rFonts w:ascii="仿宋_GB2312" w:hAnsi="仿宋_GB2312" w:cs="仿宋_GB2312" w:eastAsia="仿宋_GB2312"/>
                <w:sz w:val="28"/>
                <w:color w:val="000000"/>
              </w:rPr>
              <w:t>a) 企业编号规则：优先采用企业排污许可证编码，无排污许可证编码企业可按照 HJ608-2017 进行编码。</w:t>
            </w:r>
          </w:p>
          <w:p>
            <w:pPr>
              <w:pStyle w:val="null3"/>
              <w:ind w:firstLine="560"/>
              <w:jc w:val="both"/>
            </w:pPr>
            <w:r>
              <w:rPr>
                <w:rFonts w:ascii="仿宋_GB2312" w:hAnsi="仿宋_GB2312" w:cs="仿宋_GB2312" w:eastAsia="仿宋_GB2312"/>
                <w:sz w:val="28"/>
                <w:color w:val="000000"/>
              </w:rPr>
              <w:t>b) 出入口编号规则：（1位）：A、B、C 依次递增，同一企业不可重复。</w:t>
            </w:r>
          </w:p>
          <w:p>
            <w:pPr>
              <w:pStyle w:val="null3"/>
              <w:ind w:firstLine="560"/>
              <w:jc w:val="both"/>
            </w:pPr>
            <w:r>
              <w:rPr>
                <w:rFonts w:ascii="仿宋_GB2312" w:hAnsi="仿宋_GB2312" w:cs="仿宋_GB2312" w:eastAsia="仿宋_GB2312"/>
                <w:sz w:val="28"/>
                <w:color w:val="000000"/>
              </w:rPr>
              <w:t>c) 道闸编号规则（3位）：出入口编号+道闸顺序编号，如A出入口道闸编号：A01，依次递增，同一企业不可重复。</w:t>
            </w:r>
          </w:p>
          <w:p>
            <w:pPr>
              <w:pStyle w:val="null3"/>
              <w:ind w:firstLine="560"/>
              <w:jc w:val="both"/>
            </w:pPr>
            <w:r>
              <w:rPr>
                <w:rFonts w:ascii="仿宋_GB2312" w:hAnsi="仿宋_GB2312" w:cs="仿宋_GB2312" w:eastAsia="仿宋_GB2312"/>
                <w:sz w:val="28"/>
                <w:color w:val="000000"/>
              </w:rPr>
              <w:t>1.2.信息接收功能</w:t>
            </w:r>
          </w:p>
          <w:p>
            <w:pPr>
              <w:pStyle w:val="null3"/>
              <w:ind w:firstLine="560"/>
              <w:jc w:val="both"/>
            </w:pPr>
            <w:r>
              <w:rPr>
                <w:rFonts w:ascii="仿宋_GB2312" w:hAnsi="仿宋_GB2312" w:cs="仿宋_GB2312" w:eastAsia="仿宋_GB2312"/>
                <w:sz w:val="28"/>
                <w:color w:val="000000"/>
              </w:rPr>
              <w:t>系统应具备接收、查看监管平台下发的异常车辆名单、疑似问题车辆名单、企业重污染天气预警和响应的管控策略。</w:t>
            </w:r>
          </w:p>
          <w:p>
            <w:pPr>
              <w:pStyle w:val="null3"/>
              <w:ind w:firstLine="560"/>
              <w:jc w:val="both"/>
            </w:pPr>
            <w:r>
              <w:rPr>
                <w:rFonts w:ascii="仿宋_GB2312" w:hAnsi="仿宋_GB2312" w:cs="仿宋_GB2312" w:eastAsia="仿宋_GB2312"/>
                <w:sz w:val="28"/>
                <w:color w:val="000000"/>
              </w:rPr>
              <w:t>1.3.车辆信息采集和审核功能</w:t>
            </w:r>
          </w:p>
          <w:p>
            <w:pPr>
              <w:pStyle w:val="null3"/>
              <w:ind w:firstLine="560"/>
              <w:jc w:val="both"/>
            </w:pPr>
            <w:r>
              <w:rPr>
                <w:rFonts w:ascii="仿宋_GB2312" w:hAnsi="仿宋_GB2312" w:cs="仿宋_GB2312" w:eastAsia="仿宋_GB2312"/>
                <w:sz w:val="28"/>
                <w:color w:val="000000"/>
              </w:rPr>
              <w:t>系统应具备车辆信息采集和审核功能。车辆信息实时采集，经重点用车企业进行审核确认后，建立相应的车辆信息数据库。信息采集内容及格式应符合《陕西省重点用车企业环保门禁及视频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建设技术指南（试行）》陕环发〔</w:t>
            </w:r>
            <w:r>
              <w:rPr>
                <w:rFonts w:ascii="仿宋_GB2312" w:hAnsi="仿宋_GB2312" w:cs="仿宋_GB2312" w:eastAsia="仿宋_GB2312"/>
                <w:sz w:val="28"/>
                <w:color w:val="000000"/>
              </w:rPr>
              <w:t>2023〕64号文件中附录A表A.2要求。</w:t>
            </w:r>
          </w:p>
          <w:p>
            <w:pPr>
              <w:pStyle w:val="null3"/>
              <w:ind w:firstLine="560"/>
              <w:jc w:val="both"/>
            </w:pPr>
            <w:r>
              <w:rPr>
                <w:rFonts w:ascii="仿宋_GB2312" w:hAnsi="仿宋_GB2312" w:cs="仿宋_GB2312" w:eastAsia="仿宋_GB2312"/>
                <w:sz w:val="28"/>
                <w:color w:val="000000"/>
              </w:rPr>
              <w:t>审核和校验至少包括车牌号码、号牌颜色、车辆类型、车辆识别代码（</w:t>
            </w:r>
            <w:r>
              <w:rPr>
                <w:rFonts w:ascii="仿宋_GB2312" w:hAnsi="仿宋_GB2312" w:cs="仿宋_GB2312" w:eastAsia="仿宋_GB2312"/>
                <w:sz w:val="28"/>
                <w:color w:val="000000"/>
              </w:rPr>
              <w:t>VIN）、车辆型号、发动机型号、发动机生产厂、发动机编号、排放标准、注册登记日期、使用性质、燃料类型等内容，其中车辆行驶证/随车清单应人工扫码验证。</w:t>
            </w:r>
          </w:p>
          <w:p>
            <w:pPr>
              <w:pStyle w:val="null3"/>
              <w:ind w:firstLine="560"/>
              <w:jc w:val="both"/>
            </w:pPr>
            <w:r>
              <w:rPr>
                <w:rFonts w:ascii="仿宋_GB2312" w:hAnsi="仿宋_GB2312" w:cs="仿宋_GB2312" w:eastAsia="仿宋_GB2312"/>
                <w:sz w:val="28"/>
                <w:color w:val="000000"/>
              </w:rPr>
              <w:t>1.4.车牌识别功能</w:t>
            </w:r>
          </w:p>
          <w:p>
            <w:pPr>
              <w:pStyle w:val="null3"/>
              <w:ind w:firstLine="560"/>
              <w:jc w:val="both"/>
            </w:pPr>
            <w:r>
              <w:rPr>
                <w:rFonts w:ascii="仿宋_GB2312" w:hAnsi="仿宋_GB2312" w:cs="仿宋_GB2312" w:eastAsia="仿宋_GB2312"/>
                <w:sz w:val="28"/>
                <w:color w:val="000000"/>
              </w:rPr>
              <w:t>车牌识别系统对图片质量要求较高，应设置较低的压缩比以保证车牌文字清晰可辨。确保压缩和传输过程不会对车牌识别的实时性造成显著影响。采用快速压缩算法和稳定的网络传输协议（如</w:t>
            </w:r>
            <w:r>
              <w:rPr>
                <w:rFonts w:ascii="仿宋_GB2312" w:hAnsi="仿宋_GB2312" w:cs="仿宋_GB2312" w:eastAsia="仿宋_GB2312"/>
                <w:sz w:val="28"/>
                <w:color w:val="000000"/>
              </w:rPr>
              <w:t>TCP/IP），确保车辆通过时能快速生成并传输识别结果。</w:t>
            </w:r>
          </w:p>
          <w:p>
            <w:pPr>
              <w:pStyle w:val="null3"/>
              <w:ind w:firstLine="560"/>
              <w:jc w:val="both"/>
            </w:pPr>
            <w:r>
              <w:rPr>
                <w:rFonts w:ascii="仿宋_GB2312" w:hAnsi="仿宋_GB2312" w:cs="仿宋_GB2312" w:eastAsia="仿宋_GB2312"/>
                <w:sz w:val="28"/>
                <w:color w:val="000000"/>
              </w:rPr>
              <w:t>1.5.车辆通行信息记录、保存和上报功能</w:t>
            </w:r>
          </w:p>
          <w:p>
            <w:pPr>
              <w:pStyle w:val="null3"/>
              <w:ind w:firstLine="560"/>
              <w:jc w:val="both"/>
            </w:pPr>
            <w:r>
              <w:rPr>
                <w:rFonts w:ascii="仿宋_GB2312" w:hAnsi="仿宋_GB2312" w:cs="仿宋_GB2312" w:eastAsia="仿宋_GB2312"/>
                <w:sz w:val="28"/>
                <w:color w:val="000000"/>
              </w:rPr>
              <w:t>系统应具备自动记录、保存并上报车辆通行信息电子台账的功能。车辆通行信息历史记录保存周期不少于</w:t>
            </w:r>
            <w:r>
              <w:rPr>
                <w:rFonts w:ascii="仿宋_GB2312" w:hAnsi="仿宋_GB2312" w:cs="仿宋_GB2312" w:eastAsia="仿宋_GB2312"/>
                <w:sz w:val="28"/>
                <w:color w:val="000000"/>
              </w:rPr>
              <w:t>24个月。系统应具备发生电力或网络问题时，数据漏传报警功能；电力或网络恢复正常，系统应具备数据自动补传功能。</w:t>
            </w:r>
          </w:p>
          <w:p>
            <w:pPr>
              <w:pStyle w:val="null3"/>
              <w:ind w:firstLine="560"/>
              <w:jc w:val="both"/>
            </w:pPr>
            <w:r>
              <w:rPr>
                <w:rFonts w:ascii="仿宋_GB2312" w:hAnsi="仿宋_GB2312" w:cs="仿宋_GB2312" w:eastAsia="仿宋_GB2312"/>
                <w:sz w:val="28"/>
                <w:color w:val="000000"/>
              </w:rPr>
              <w:t>进出厂车辆通行信息电子台账格式符合《陕西省重点用车企业环保门禁及视频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建设技术指南（试行）》陕环发〔</w:t>
            </w:r>
            <w:r>
              <w:rPr>
                <w:rFonts w:ascii="仿宋_GB2312" w:hAnsi="仿宋_GB2312" w:cs="仿宋_GB2312" w:eastAsia="仿宋_GB2312"/>
                <w:sz w:val="28"/>
                <w:color w:val="000000"/>
              </w:rPr>
              <w:t>2023〕64号文件中附录A表A.3要求。</w:t>
            </w:r>
          </w:p>
          <w:p>
            <w:pPr>
              <w:pStyle w:val="null3"/>
              <w:ind w:firstLine="560"/>
              <w:jc w:val="both"/>
            </w:pPr>
            <w:r>
              <w:rPr>
                <w:rFonts w:ascii="仿宋_GB2312" w:hAnsi="仿宋_GB2312" w:cs="仿宋_GB2312" w:eastAsia="仿宋_GB2312"/>
                <w:sz w:val="28"/>
                <w:color w:val="000000"/>
              </w:rPr>
              <w:t>厂内运输车辆通行信息电子台账格式应符合《陕西省重点用车企业环保门禁及视频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建设技术指南（试行）》陕环发〔</w:t>
            </w:r>
            <w:r>
              <w:rPr>
                <w:rFonts w:ascii="仿宋_GB2312" w:hAnsi="仿宋_GB2312" w:cs="仿宋_GB2312" w:eastAsia="仿宋_GB2312"/>
                <w:sz w:val="28"/>
                <w:color w:val="000000"/>
              </w:rPr>
              <w:t>2023〕64号文件中附录A表A.4要求。</w:t>
            </w:r>
          </w:p>
          <w:p>
            <w:pPr>
              <w:pStyle w:val="null3"/>
              <w:ind w:firstLine="560"/>
              <w:jc w:val="both"/>
            </w:pPr>
            <w:r>
              <w:rPr>
                <w:rFonts w:ascii="仿宋_GB2312" w:hAnsi="仿宋_GB2312" w:cs="仿宋_GB2312" w:eastAsia="仿宋_GB2312"/>
                <w:sz w:val="28"/>
                <w:color w:val="000000"/>
              </w:rPr>
              <w:t>非道路移动机械通行信息电子台账格式应符合《陕西省重点用车企业环保门禁及视频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建设技术指南（试行）》陕环发〔</w:t>
            </w:r>
            <w:r>
              <w:rPr>
                <w:rFonts w:ascii="仿宋_GB2312" w:hAnsi="仿宋_GB2312" w:cs="仿宋_GB2312" w:eastAsia="仿宋_GB2312"/>
                <w:sz w:val="28"/>
                <w:color w:val="000000"/>
              </w:rPr>
              <w:t>2023〕64号文件中附录A表A.5要求。</w:t>
            </w:r>
          </w:p>
          <w:p>
            <w:pPr>
              <w:pStyle w:val="null3"/>
              <w:ind w:firstLine="560"/>
              <w:jc w:val="both"/>
            </w:pPr>
            <w:r>
              <w:rPr>
                <w:rFonts w:ascii="仿宋_GB2312" w:hAnsi="仿宋_GB2312" w:cs="仿宋_GB2312" w:eastAsia="仿宋_GB2312"/>
                <w:sz w:val="28"/>
                <w:color w:val="000000"/>
              </w:rPr>
              <w:t>1.6.管控策略和异常车辆名单执行功能</w:t>
            </w:r>
          </w:p>
          <w:p>
            <w:pPr>
              <w:pStyle w:val="null3"/>
              <w:ind w:firstLine="560"/>
              <w:jc w:val="both"/>
            </w:pPr>
            <w:r>
              <w:rPr>
                <w:rFonts w:ascii="仿宋_GB2312" w:hAnsi="仿宋_GB2312" w:cs="仿宋_GB2312" w:eastAsia="仿宋_GB2312"/>
                <w:sz w:val="28"/>
                <w:color w:val="000000"/>
              </w:rPr>
              <w:t>系统应设置</w:t>
            </w:r>
            <w:r>
              <w:rPr>
                <w:rFonts w:ascii="仿宋_GB2312" w:hAnsi="仿宋_GB2312" w:cs="仿宋_GB2312" w:eastAsia="仿宋_GB2312"/>
                <w:sz w:val="28"/>
                <w:color w:val="000000"/>
              </w:rPr>
              <w:t>“一企一策”的日常和特殊情况车辆管控措施。系统设定的管控措施，应具备向市级监管系统上报，并接收审核意见功能。审核未通过的管控措施，在2个工作日内修改后重新上报至市级监管平台；通过审核的管控措施应纳入“一企一策”数据库。（日常车辆管控措施指：根据日常管理需要，对部分排放阶段柴油货车、非道路移动机械和异常车辆的管控措施；特殊情况车辆管控措施指：根据重污染天气不同响应级别，对不同排放阶段柴油货车、非道路移动机械和异常车辆的管控措施。）</w:t>
            </w:r>
          </w:p>
          <w:p>
            <w:pPr>
              <w:pStyle w:val="null3"/>
              <w:ind w:firstLine="560"/>
              <w:jc w:val="both"/>
            </w:pPr>
            <w:r>
              <w:rPr>
                <w:rFonts w:ascii="仿宋_GB2312" w:hAnsi="仿宋_GB2312" w:cs="仿宋_GB2312" w:eastAsia="仿宋_GB2312"/>
                <w:sz w:val="28"/>
                <w:color w:val="000000"/>
              </w:rPr>
              <w:t>系统应具备识别和执行市级生态环境主管部门监管平台下发的异常车辆名单以及管控策略的功能。当通行车辆不符合管控策略或在异常车辆清单中时，系统应将车辆信息及时反馈给本企业，由本企业决定车辆通行权限。</w:t>
            </w:r>
          </w:p>
          <w:p>
            <w:pPr>
              <w:pStyle w:val="null3"/>
              <w:ind w:firstLine="560"/>
              <w:jc w:val="both"/>
            </w:pPr>
            <w:r>
              <w:rPr>
                <w:rFonts w:ascii="仿宋_GB2312" w:hAnsi="仿宋_GB2312" w:cs="仿宋_GB2312" w:eastAsia="仿宋_GB2312"/>
                <w:sz w:val="28"/>
                <w:color w:val="000000"/>
              </w:rPr>
              <w:t>1.7.信息提示功能</w:t>
            </w:r>
          </w:p>
          <w:p>
            <w:pPr>
              <w:pStyle w:val="null3"/>
              <w:ind w:firstLine="560"/>
              <w:jc w:val="both"/>
            </w:pPr>
            <w:r>
              <w:rPr>
                <w:rFonts w:ascii="仿宋_GB2312" w:hAnsi="仿宋_GB2312" w:cs="仿宋_GB2312" w:eastAsia="仿宋_GB2312"/>
                <w:sz w:val="28"/>
                <w:color w:val="000000"/>
              </w:rPr>
              <w:t>系统应具备管控状态、车辆信息提示功能，通过出入口显示屏提示当前管控状态、车牌号码、排放标准、通行或禁行提示、进出时间、禁行原因等。</w:t>
            </w:r>
          </w:p>
          <w:p>
            <w:pPr>
              <w:pStyle w:val="null3"/>
              <w:ind w:firstLine="560"/>
              <w:jc w:val="both"/>
            </w:pPr>
            <w:r>
              <w:rPr>
                <w:rFonts w:ascii="仿宋_GB2312" w:hAnsi="仿宋_GB2312" w:cs="仿宋_GB2312" w:eastAsia="仿宋_GB2312"/>
                <w:sz w:val="28"/>
                <w:color w:val="000000"/>
              </w:rPr>
              <w:t>1.8.报警提示功能</w:t>
            </w:r>
          </w:p>
          <w:p>
            <w:pPr>
              <w:pStyle w:val="null3"/>
              <w:ind w:firstLine="560"/>
              <w:jc w:val="both"/>
            </w:pPr>
            <w:r>
              <w:rPr>
                <w:rFonts w:ascii="仿宋_GB2312" w:hAnsi="仿宋_GB2312" w:cs="仿宋_GB2312" w:eastAsia="仿宋_GB2312"/>
                <w:sz w:val="28"/>
                <w:color w:val="000000"/>
              </w:rPr>
              <w:t>应具备不规范使用环保门禁及视频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行为的报警提示的功能，具备对异常车辆清单中车辆或不符合通行策略的进出厂车辆通行行为报警提示功能，并上报上级生态环境主管部门。</w:t>
            </w:r>
          </w:p>
          <w:p>
            <w:pPr>
              <w:pStyle w:val="null3"/>
              <w:ind w:firstLine="560"/>
              <w:jc w:val="both"/>
            </w:pPr>
            <w:r>
              <w:rPr>
                <w:rFonts w:ascii="仿宋_GB2312" w:hAnsi="仿宋_GB2312" w:cs="仿宋_GB2312" w:eastAsia="仿宋_GB2312"/>
                <w:sz w:val="28"/>
                <w:color w:val="000000"/>
              </w:rPr>
              <w:t>1.9.视频调阅功能</w:t>
            </w:r>
          </w:p>
          <w:p>
            <w:pPr>
              <w:pStyle w:val="null3"/>
              <w:ind w:firstLine="560"/>
              <w:jc w:val="both"/>
            </w:pPr>
            <w:r>
              <w:rPr>
                <w:rFonts w:ascii="仿宋_GB2312" w:hAnsi="仿宋_GB2312" w:cs="仿宋_GB2312" w:eastAsia="仿宋_GB2312"/>
                <w:sz w:val="28"/>
                <w:color w:val="000000"/>
              </w:rPr>
              <w:t>具备对进出厂车辆出入口</w:t>
            </w:r>
            <w:r>
              <w:rPr>
                <w:rFonts w:ascii="仿宋_GB2312" w:hAnsi="仿宋_GB2312" w:cs="仿宋_GB2312" w:eastAsia="仿宋_GB2312"/>
                <w:sz w:val="28"/>
                <w:color w:val="000000"/>
              </w:rPr>
              <w:t>24小时实时监控的功能，保证能够覆盖车辆进出的过程；出入口视频内应显著标注进出厂时间、出入口编号、道闸编号等信息。</w:t>
            </w:r>
          </w:p>
          <w:p>
            <w:pPr>
              <w:pStyle w:val="null3"/>
              <w:ind w:firstLine="560"/>
              <w:jc w:val="both"/>
            </w:pPr>
            <w:r>
              <w:rPr>
                <w:rFonts w:ascii="仿宋_GB2312" w:hAnsi="仿宋_GB2312" w:cs="仿宋_GB2312" w:eastAsia="仿宋_GB2312"/>
                <w:sz w:val="28"/>
                <w:color w:val="000000"/>
              </w:rPr>
              <w:t>须配备本地视频存储设备，具备将视频保存在本地硬盘的功能（按日期保存），应具备手动起杆标注功能，且在手动起杆时自动录取视频并单独保存或调取。历史视频保存周期不少于</w:t>
            </w:r>
            <w:r>
              <w:rPr>
                <w:rFonts w:ascii="仿宋_GB2312" w:hAnsi="仿宋_GB2312" w:cs="仿宋_GB2312" w:eastAsia="仿宋_GB2312"/>
                <w:sz w:val="28"/>
                <w:color w:val="000000"/>
              </w:rPr>
              <w:t>12个月。</w:t>
            </w:r>
          </w:p>
          <w:p>
            <w:pPr>
              <w:pStyle w:val="null3"/>
              <w:ind w:firstLine="560"/>
              <w:jc w:val="both"/>
            </w:pPr>
            <w:r>
              <w:rPr>
                <w:rFonts w:ascii="仿宋_GB2312" w:hAnsi="仿宋_GB2312" w:cs="仿宋_GB2312" w:eastAsia="仿宋_GB2312"/>
                <w:sz w:val="28"/>
                <w:color w:val="000000"/>
              </w:rPr>
              <w:t>系统应向生态环境主管部门提供视频监控摄像头端口、用户名、密码等相关信息供监管平台调用。</w:t>
            </w:r>
          </w:p>
          <w:p>
            <w:pPr>
              <w:pStyle w:val="null3"/>
              <w:ind w:firstLine="560"/>
              <w:jc w:val="both"/>
            </w:pPr>
            <w:r>
              <w:rPr>
                <w:rFonts w:ascii="仿宋_GB2312" w:hAnsi="仿宋_GB2312" w:cs="仿宋_GB2312" w:eastAsia="仿宋_GB2312"/>
                <w:sz w:val="28"/>
                <w:color w:val="000000"/>
              </w:rPr>
              <w:t>1.10.照片抓拍功能</w:t>
            </w:r>
          </w:p>
          <w:p>
            <w:pPr>
              <w:pStyle w:val="null3"/>
              <w:ind w:firstLine="560"/>
              <w:jc w:val="both"/>
            </w:pPr>
            <w:r>
              <w:rPr>
                <w:rFonts w:ascii="仿宋_GB2312" w:hAnsi="仿宋_GB2312" w:cs="仿宋_GB2312" w:eastAsia="仿宋_GB2312"/>
                <w:sz w:val="28"/>
                <w:color w:val="000000"/>
              </w:rPr>
              <w:t>系统应具备抓拍人为开闸信息和车辆闯闸行为能力。通过抓拍照片、录制视频等方式留存违规通行行为。</w:t>
            </w:r>
          </w:p>
          <w:p>
            <w:pPr>
              <w:pStyle w:val="null3"/>
              <w:ind w:firstLine="560"/>
              <w:jc w:val="both"/>
            </w:pPr>
            <w:r>
              <w:rPr>
                <w:rFonts w:ascii="仿宋_GB2312" w:hAnsi="仿宋_GB2312" w:cs="仿宋_GB2312" w:eastAsia="仿宋_GB2312"/>
                <w:sz w:val="28"/>
                <w:color w:val="000000"/>
              </w:rPr>
              <w:t>抓拍关键照片包括进出厂车头照片、车身整体照片等；</w:t>
            </w:r>
          </w:p>
          <w:p>
            <w:pPr>
              <w:pStyle w:val="null3"/>
              <w:ind w:firstLine="560"/>
              <w:jc w:val="both"/>
            </w:pPr>
            <w:r>
              <w:rPr>
                <w:rFonts w:ascii="仿宋_GB2312" w:hAnsi="仿宋_GB2312" w:cs="仿宋_GB2312" w:eastAsia="仿宋_GB2312"/>
                <w:sz w:val="28"/>
                <w:color w:val="000000"/>
              </w:rPr>
              <w:t>抓拍照片应保证号牌颜色和号牌号码清晰可见；</w:t>
            </w:r>
          </w:p>
          <w:p>
            <w:pPr>
              <w:pStyle w:val="null3"/>
              <w:ind w:firstLine="560"/>
              <w:jc w:val="both"/>
            </w:pPr>
            <w:r>
              <w:rPr>
                <w:rFonts w:ascii="仿宋_GB2312" w:hAnsi="仿宋_GB2312" w:cs="仿宋_GB2312" w:eastAsia="仿宋_GB2312"/>
                <w:sz w:val="28"/>
                <w:color w:val="000000"/>
              </w:rPr>
              <w:t>抓拍照片应标注进出厂时间、进出口编号、道闸编号等信息。</w:t>
            </w:r>
          </w:p>
          <w:p>
            <w:pPr>
              <w:pStyle w:val="null3"/>
              <w:ind w:firstLine="560"/>
              <w:jc w:val="both"/>
            </w:pPr>
            <w:r>
              <w:rPr>
                <w:rFonts w:ascii="仿宋_GB2312" w:hAnsi="仿宋_GB2312" w:cs="仿宋_GB2312" w:eastAsia="仿宋_GB2312"/>
                <w:sz w:val="28"/>
                <w:color w:val="000000"/>
              </w:rPr>
              <w:t>视频监控摄像机图像尺寸不低于</w:t>
            </w:r>
            <w:r>
              <w:rPr>
                <w:rFonts w:ascii="仿宋_GB2312" w:hAnsi="仿宋_GB2312" w:cs="仿宋_GB2312" w:eastAsia="仿宋_GB2312"/>
                <w:sz w:val="28"/>
                <w:color w:val="000000"/>
              </w:rPr>
              <w:t>300万像素，帧率不低于25帧/秒，单路传输码率不低于 2Mbps，能支持至少两个客户端同时访问；摄像机进行定期除尘处理，保证拍摄画面清晰。</w:t>
            </w:r>
          </w:p>
          <w:p>
            <w:pPr>
              <w:pStyle w:val="null3"/>
              <w:ind w:firstLine="560"/>
              <w:jc w:val="both"/>
            </w:pPr>
            <w:r>
              <w:rPr>
                <w:rFonts w:ascii="仿宋_GB2312" w:hAnsi="仿宋_GB2312" w:cs="仿宋_GB2312" w:eastAsia="仿宋_GB2312"/>
                <w:sz w:val="28"/>
                <w:color w:val="000000"/>
              </w:rPr>
              <w:t>1.11.数据关联功能</w:t>
            </w:r>
          </w:p>
          <w:p>
            <w:pPr>
              <w:pStyle w:val="null3"/>
              <w:ind w:firstLine="560"/>
              <w:jc w:val="both"/>
            </w:pPr>
            <w:r>
              <w:rPr>
                <w:rFonts w:ascii="仿宋_GB2312" w:hAnsi="仿宋_GB2312" w:cs="仿宋_GB2312" w:eastAsia="仿宋_GB2312"/>
                <w:sz w:val="28"/>
                <w:color w:val="000000"/>
              </w:rPr>
              <w:t>系统应具备自动关联或人工录入运载货物名称和运载量相关信息的功能。</w:t>
            </w:r>
          </w:p>
          <w:p>
            <w:pPr>
              <w:pStyle w:val="null3"/>
              <w:ind w:firstLine="560"/>
              <w:jc w:val="both"/>
            </w:pPr>
            <w:r>
              <w:rPr>
                <w:rFonts w:ascii="仿宋_GB2312" w:hAnsi="仿宋_GB2312" w:cs="仿宋_GB2312" w:eastAsia="仿宋_GB2312"/>
                <w:sz w:val="28"/>
                <w:color w:val="000000"/>
              </w:rPr>
              <w:t>1.12.疑似车辆名单审核确认功能</w:t>
            </w:r>
          </w:p>
          <w:p>
            <w:pPr>
              <w:pStyle w:val="null3"/>
              <w:ind w:firstLine="560"/>
              <w:jc w:val="both"/>
            </w:pPr>
            <w:r>
              <w:rPr>
                <w:rFonts w:ascii="仿宋_GB2312" w:hAnsi="仿宋_GB2312" w:cs="仿宋_GB2312" w:eastAsia="仿宋_GB2312"/>
                <w:sz w:val="28"/>
                <w:color w:val="000000"/>
              </w:rPr>
              <w:t>系统应具备对监管系统下发的疑似车辆名单及时核实、确认和上报市级监管平台的功能。</w:t>
            </w:r>
          </w:p>
          <w:p>
            <w:pPr>
              <w:pStyle w:val="null3"/>
              <w:ind w:firstLine="560"/>
              <w:jc w:val="both"/>
            </w:pPr>
            <w:r>
              <w:rPr>
                <w:rFonts w:ascii="仿宋_GB2312" w:hAnsi="仿宋_GB2312" w:cs="仿宋_GB2312" w:eastAsia="仿宋_GB2312"/>
                <w:sz w:val="28"/>
                <w:color w:val="000000"/>
              </w:rPr>
              <w:t>1.13.信息查询和汇总统计功能</w:t>
            </w:r>
          </w:p>
          <w:p>
            <w:pPr>
              <w:pStyle w:val="null3"/>
              <w:ind w:firstLine="560"/>
              <w:jc w:val="both"/>
            </w:pPr>
            <w:r>
              <w:rPr>
                <w:rFonts w:ascii="仿宋_GB2312" w:hAnsi="仿宋_GB2312" w:cs="仿宋_GB2312" w:eastAsia="仿宋_GB2312"/>
                <w:sz w:val="28"/>
                <w:color w:val="000000"/>
              </w:rPr>
              <w:t>系统应具备进出厂运输车辆、厂内运输车辆、非道路移动机械等记录查询功能，应支持时间、车辆（非道路移动机械）、排放标准、燃料类型、管控状态等多条件组合查询。进出厂运输车辆、厂内运输车辆、非道路移动机械电子台账记录实时更新、本地保存。</w:t>
            </w:r>
          </w:p>
          <w:p>
            <w:pPr>
              <w:pStyle w:val="null3"/>
              <w:numPr>
                <w:ilvl w:val="0"/>
                <w:numId w:val="1"/>
              </w:numPr>
              <w:jc w:val="both"/>
            </w:pPr>
            <w:r>
              <w:rPr>
                <w:rFonts w:ascii="仿宋_GB2312" w:hAnsi="仿宋_GB2312" w:cs="仿宋_GB2312" w:eastAsia="仿宋_GB2312"/>
                <w:sz w:val="28"/>
                <w:b/>
                <w:color w:val="000000"/>
              </w:rPr>
              <w:t>与市级监管平台对接</w:t>
            </w:r>
          </w:p>
          <w:p>
            <w:pPr>
              <w:pStyle w:val="null3"/>
              <w:ind w:firstLine="560"/>
              <w:jc w:val="both"/>
            </w:pPr>
            <w:r>
              <w:rPr>
                <w:rFonts w:ascii="仿宋_GB2312" w:hAnsi="仿宋_GB2312" w:cs="仿宋_GB2312" w:eastAsia="仿宋_GB2312"/>
                <w:sz w:val="28"/>
                <w:color w:val="000000"/>
              </w:rPr>
              <w:t>50家企业端环保门禁及视频</w:t>
            </w:r>
            <w:r>
              <w:rPr>
                <w:rFonts w:ascii="仿宋_GB2312" w:hAnsi="仿宋_GB2312" w:cs="仿宋_GB2312" w:eastAsia="仿宋_GB2312"/>
                <w:sz w:val="28"/>
                <w:color w:val="000000"/>
              </w:rPr>
              <w:t>监控软件系统</w:t>
            </w:r>
            <w:r>
              <w:rPr>
                <w:rFonts w:ascii="仿宋_GB2312" w:hAnsi="仿宋_GB2312" w:cs="仿宋_GB2312" w:eastAsia="仿宋_GB2312"/>
                <w:sz w:val="28"/>
                <w:color w:val="000000"/>
              </w:rPr>
              <w:t>软件安装部署及调试，实现与市局监管平台对接联网，实时上报车辆通行数据。</w:t>
            </w:r>
          </w:p>
          <w:p>
            <w:pPr>
              <w:pStyle w:val="null3"/>
              <w:numPr>
                <w:ilvl w:val="0"/>
                <w:numId w:val="1"/>
              </w:numPr>
              <w:jc w:val="both"/>
            </w:pPr>
            <w:r>
              <w:rPr>
                <w:rFonts w:ascii="仿宋_GB2312" w:hAnsi="仿宋_GB2312" w:cs="仿宋_GB2312" w:eastAsia="仿宋_GB2312"/>
                <w:sz w:val="28"/>
                <w:b/>
                <w:color w:val="000000"/>
              </w:rPr>
              <w:t>拟监管企业名录</w:t>
            </w:r>
          </w:p>
          <w:tbl>
            <w:tblPr>
              <w:tblBorders>
                <w:top w:val="none" w:color="000000" w:sz="4"/>
                <w:left w:val="none" w:color="000000" w:sz="4"/>
                <w:bottom w:val="none" w:color="000000" w:sz="4"/>
                <w:right w:val="none" w:color="000000" w:sz="4"/>
                <w:insideH w:val="none"/>
                <w:insideV w:val="none"/>
              </w:tblBorders>
            </w:tblPr>
            <w:tblGrid>
              <w:gridCol w:w="206"/>
              <w:gridCol w:w="344"/>
              <w:gridCol w:w="964"/>
              <w:gridCol w:w="1028"/>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地区</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统一社会信用代码</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公司名称</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商州区</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91611000710019312Y</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陕西华通公路工程公司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916100006949223837</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陕西建发矿业开发有限责任公司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91611000567109808N</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商洛市鑫泰矿产开发有限公司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91611002MA70X6XM6G</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陕西玖德宝建</w:t>
                  </w:r>
                  <w:r>
                    <w:rPr>
                      <w:rFonts w:ascii="仿宋_GB2312" w:hAnsi="仿宋_GB2312" w:cs="仿宋_GB2312" w:eastAsia="仿宋_GB2312"/>
                      <w:sz w:val="24"/>
                    </w:rPr>
                    <w:t>建筑材</w:t>
                  </w:r>
                  <w:r>
                    <w:rPr>
                      <w:rFonts w:ascii="仿宋_GB2312" w:hAnsi="仿宋_GB2312" w:cs="仿宋_GB2312" w:eastAsia="仿宋_GB2312"/>
                      <w:sz w:val="24"/>
                    </w:rPr>
                    <w:t>材有限公司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91611000687964737F</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陕西延长石油集团氟硅化工有限公司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91611000710099527Q</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陕西锌业有限公司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916100006949482337</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商洛陆港实业</w:t>
                  </w:r>
                  <w:r>
                    <w:rPr>
                      <w:rFonts w:ascii="仿宋_GB2312" w:hAnsi="仿宋_GB2312" w:cs="仿宋_GB2312" w:eastAsia="仿宋_GB2312"/>
                      <w:sz w:val="24"/>
                    </w:rPr>
                    <w:t>（</w:t>
                  </w:r>
                  <w:r>
                    <w:rPr>
                      <w:rFonts w:ascii="仿宋_GB2312" w:hAnsi="仿宋_GB2312" w:cs="仿宋_GB2312" w:eastAsia="仿宋_GB2312"/>
                      <w:sz w:val="24"/>
                    </w:rPr>
                    <w:t>集团</w:t>
                  </w:r>
                  <w:r>
                    <w:rPr>
                      <w:rFonts w:ascii="仿宋_GB2312" w:hAnsi="仿宋_GB2312" w:cs="仿宋_GB2312" w:eastAsia="仿宋_GB2312"/>
                      <w:sz w:val="24"/>
                    </w:rPr>
                    <w:t>）</w:t>
                  </w:r>
                  <w:r>
                    <w:rPr>
                      <w:rFonts w:ascii="仿宋_GB2312" w:hAnsi="仿宋_GB2312" w:cs="仿宋_GB2312" w:eastAsia="仿宋_GB2312"/>
                      <w:sz w:val="24"/>
                    </w:rPr>
                    <w:t>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91611002MA70XBAQ6U</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商洛喜达实业实业有限公司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91611000681580548B</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商洛比亚迪实业有限公司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91611000577815837M</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商洛市亮山混凝土制品有限公司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91611002555666586U</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商州亨威混凝土有限公司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916110007941237069</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商洛永固混凝土</w:t>
                  </w:r>
                  <w:r>
                    <w:rPr>
                      <w:rFonts w:ascii="仿宋_GB2312" w:hAnsi="仿宋_GB2312" w:cs="仿宋_GB2312" w:eastAsia="仿宋_GB2312"/>
                      <w:sz w:val="24"/>
                    </w:rPr>
                    <w:t>工程</w:t>
                  </w:r>
                  <w:r>
                    <w:rPr>
                      <w:rFonts w:ascii="仿宋_GB2312" w:hAnsi="仿宋_GB2312" w:cs="仿宋_GB2312" w:eastAsia="仿宋_GB2312"/>
                      <w:sz w:val="24"/>
                    </w:rPr>
                    <w:t>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916110003053372966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商洛汇金实业有限公司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91611002MA70X8YAXG</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商洛绿巨源建材有限公司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91611000MA70XNUW50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商洛尧柏节能环保建材有限公司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916110007869512290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商洛君隆实业有限</w:t>
                  </w:r>
                  <w:r>
                    <w:rPr>
                      <w:rFonts w:ascii="仿宋_GB2312" w:hAnsi="仿宋_GB2312" w:cs="仿宋_GB2312" w:eastAsia="仿宋_GB2312"/>
                      <w:sz w:val="24"/>
                    </w:rPr>
                    <w:t>责任</w:t>
                  </w:r>
                  <w:r>
                    <w:rPr>
                      <w:rFonts w:ascii="仿宋_GB2312" w:hAnsi="仿宋_GB2312" w:cs="仿宋_GB2312" w:eastAsia="仿宋_GB2312"/>
                      <w:sz w:val="24"/>
                    </w:rPr>
                    <w:t>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91611002MA70WT8W69</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商洛康璞亿家建材贸易有限公司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91611002593331226D</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陕西商山新材料科技有限公司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商南县</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916110237100240748</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陕西省商南县东正化工有限责任公司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91611023684799561J</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商南天和泥浆有限公司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洛南县</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91611021577810673B</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洛南县誉诚建材有限公司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91611021MA70YD7A76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陕西鑫磊恒达新型建材有限公司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91611021050432346U</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陕西鑫磊建材有限公司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柞水县</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91611026923471257W</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陕西大西沟矿业有限公司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91611026671519401A</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柞水县</w:t>
                  </w:r>
                  <w:r>
                    <w:rPr>
                      <w:rFonts w:ascii="仿宋_GB2312" w:hAnsi="仿宋_GB2312" w:cs="仿宋_GB2312" w:eastAsia="仿宋_GB2312"/>
                      <w:sz w:val="24"/>
                    </w:rPr>
                    <w:t>博隆矿业有限</w:t>
                  </w:r>
                  <w:r>
                    <w:rPr>
                      <w:rFonts w:ascii="仿宋_GB2312" w:hAnsi="仿宋_GB2312" w:cs="仿宋_GB2312" w:eastAsia="仿宋_GB2312"/>
                      <w:sz w:val="24"/>
                    </w:rPr>
                    <w:t>责任</w:t>
                  </w:r>
                  <w:r>
                    <w:rPr>
                      <w:rFonts w:ascii="仿宋_GB2312" w:hAnsi="仿宋_GB2312" w:cs="仿宋_GB2312" w:eastAsia="仿宋_GB2312"/>
                      <w:sz w:val="24"/>
                    </w:rPr>
                    <w:t>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山阳县</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91611024MA70T2LM78</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陕西德润康科技发展有限公司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丹凤县</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91611000698418846L</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商洛尧柏龙桥水泥有限公司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91611022074503794F</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陕西盛秾生物科技发展有限公司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91611000MA70T9KXXQ</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商洛尧柏龙桥水泥有限公司留仙坪分厂</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91611022MA70X908XA</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丹凤县雷驰建设</w:t>
                  </w:r>
                  <w:r>
                    <w:rPr>
                      <w:rFonts w:ascii="仿宋_GB2312" w:hAnsi="仿宋_GB2312" w:cs="仿宋_GB2312" w:eastAsia="仿宋_GB2312"/>
                      <w:sz w:val="24"/>
                    </w:rPr>
                    <w:t>工程</w:t>
                  </w:r>
                  <w:r>
                    <w:rPr>
                      <w:rFonts w:ascii="仿宋_GB2312" w:hAnsi="仿宋_GB2312" w:cs="仿宋_GB2312" w:eastAsia="仿宋_GB2312"/>
                      <w:sz w:val="24"/>
                    </w:rPr>
                    <w:t>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91611022MA70T79F7T</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丹凤县创新环保建材有限公司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91611022580791637B</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丹凤</w:t>
                  </w:r>
                  <w:r>
                    <w:rPr>
                      <w:rFonts w:ascii="仿宋_GB2312" w:hAnsi="仿宋_GB2312" w:cs="仿宋_GB2312" w:eastAsia="仿宋_GB2312"/>
                      <w:sz w:val="24"/>
                    </w:rPr>
                    <w:t>县</w:t>
                  </w:r>
                  <w:r>
                    <w:rPr>
                      <w:rFonts w:ascii="仿宋_GB2312" w:hAnsi="仿宋_GB2312" w:cs="仿宋_GB2312" w:eastAsia="仿宋_GB2312"/>
                      <w:sz w:val="24"/>
                    </w:rPr>
                    <w:t>龙桥振兴商砼有限公司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镇安县</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91611000719701094L</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商洛尧柏秀山水泥有限公</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91611025052135935X</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陕西天佑</w:t>
                  </w:r>
                  <w:r>
                    <w:rPr>
                      <w:rFonts w:ascii="仿宋_GB2312" w:hAnsi="仿宋_GB2312" w:cs="仿宋_GB2312" w:eastAsia="仿宋_GB2312"/>
                      <w:sz w:val="24"/>
                    </w:rPr>
                    <w:t>矿业</w:t>
                  </w:r>
                  <w:r>
                    <w:rPr>
                      <w:rFonts w:ascii="仿宋_GB2312" w:hAnsi="仿宋_GB2312" w:cs="仿宋_GB2312" w:eastAsia="仿宋_GB2312"/>
                      <w:sz w:val="24"/>
                    </w:rPr>
                    <w:t>有限公司</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镇安铁路货场</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商州区</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西铁物流</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44"/>
                  <w:vMerge/>
                  <w:tcBorders>
                    <w:top w:val="none" w:color="000000" w:sz="4"/>
                    <w:left w:val="single" w:color="000000" w:sz="4"/>
                    <w:bottom w:val="single" w:color="000000" w:sz="4"/>
                    <w:right w:val="single" w:color="000000" w:sz="4"/>
                  </w:tcBorders>
                </w:tcP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砚川铁路货场</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商南县</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铁路货场</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柞水县</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柞水铁路货场</w:t>
                  </w:r>
                </w:p>
              </w:tc>
            </w:tr>
            <w:tr>
              <w:tc>
                <w:tcPr>
                  <w:tcW w:type="dxa" w:w="25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备注：按照陕西省标准，重点用车企业是指年度日均载货车辆进出</w:t>
                  </w:r>
                  <w:r>
                    <w:rPr>
                      <w:rFonts w:ascii="仿宋_GB2312" w:hAnsi="仿宋_GB2312" w:cs="仿宋_GB2312" w:eastAsia="仿宋_GB2312"/>
                      <w:sz w:val="24"/>
                    </w:rPr>
                    <w:t>10辆次及以上或日运输量150吨及以上的单位，以上一年度数据为依据核定。按照陕西省生态环境厅对商洛市的指标要求是50家，目前初步名单有39家企业，另外11家企业待定，后期以项目实施情况进行调整。</w:t>
                  </w:r>
                </w:p>
              </w:tc>
            </w:tr>
          </w:tbl>
          <w:p>
            <w:pPr>
              <w:pStyle w:val="null3"/>
              <w:spacing w:before="45" w:after="45"/>
              <w:ind w:firstLine="200"/>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货到现场安装、调试完毕，所有设备使用无质量问题，项目验收合格后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合同约定或法律规定。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 xml:space="preserve"> 报价唯一，且没有低于成本价或高于最高限价的</w:t>
            </w:r>
          </w:p>
        </w:tc>
        <w:tc>
          <w:tcPr>
            <w:tcW w:type="dxa" w:w="1661"/>
          </w:tcPr>
          <w:p>
            <w:pPr>
              <w:pStyle w:val="null3"/>
            </w:pPr>
            <w:r>
              <w:rPr>
                <w:rFonts w:ascii="仿宋_GB2312" w:hAnsi="仿宋_GB2312" w:cs="仿宋_GB2312" w:eastAsia="仿宋_GB2312"/>
              </w:rPr>
              <w:t>开标一览表 投标函 标的清单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区间分值0-6分。 评审标准细化内容： 包括但不限于①项目背景理解;②服务内容理解③项目需求理解；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（1）各部分内容全面详细、阐述条理清晰详尽、符合本项目采购需求得6分； （2）评审标准细化内容每缺少一项扣2分； （3）评审标准细化内容缺失不得分，每有一处内容存在缺陷或不足的扣1分，该项分值扣完为止。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 二、评审标准 1、完整性：方案必须全面，对评审内容中的各项要求有详细描述；2、可实施性：切合本项目实际情况，提出步骤清晰、合理的方案。 三、赋分依据（满分9分） ①供货及物流运输：每完全满足一个评审标准得1.5分，方案缺漏得1分，满分3分；②安装及调试:每完全满足一个评审标准得 1.5分，方案缺漏得1分，满分3分；③应急措施：每完全满足一个评审标准得1.5分，方案缺漏得1分，满分3分。未提供方案得0分。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根据供应商针对本项目实重点、难点分析，包括但不限于：①重点、难点分析； ②应对措施；③重点、难点相关经验；以上3点的方案内容全面、详细，完全满足项目需求且有利于项目实施的，得12.0分。每有一项内容缺失的扣4.0分，每有一项存在缺陷扣2.0分，扣完为止。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服务相关管理措施</w:t>
            </w:r>
          </w:p>
        </w:tc>
        <w:tc>
          <w:tcPr>
            <w:tcW w:type="dxa" w:w="2492"/>
          </w:tcPr>
          <w:p>
            <w:pPr>
              <w:pStyle w:val="null3"/>
            </w:pPr>
            <w:r>
              <w:rPr>
                <w:rFonts w:ascii="仿宋_GB2312" w:hAnsi="仿宋_GB2312" w:cs="仿宋_GB2312" w:eastAsia="仿宋_GB2312"/>
              </w:rPr>
              <w:t>根据供应商针对本项目服务管理措施，包括但不限于：①组织保障措施；②人员保障措施；③设备保障措施；以上3点的方案内容全面、详细，完全满足项目需求且有利于项目实施的，得9.0分。每有一项内容缺失的扣3.0分，每有一项存在缺陷扣1.0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区间分值：0-4分。 评审标准细化内容： 包括但不限于①质量目标；②质量保证措施。 评审标准： 1、完整性：内容详细全面，满足本项目实施要求； 2、真实性：切合本项目实施情况，贴合实际和本次采购要求； 3、针对性：对项目的有足够的针对性，紧扣项目实际情况。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区间分值0-4分。 评审标准细化内容： 包括但不限于①相关设备投入计划安排；②设备保证措施等。 评审标准： 1、完整性：拟投入设备详细全面，符合项目采购要求； 2、真实性：切合本项目实际情况，拟投入设备合理、可行； 3、针对性：能够紧扣项目实际情况，拟投入设备科学、合理；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1、完整性：方案必须全面，对评审内容中的各项要求有详细描述；2、可实施性：切合本项目实际情况，提出步骤清晰、合理的方案；3、针对性：方案能够紧扣项目实际情况，内容科学合理。 三、赋分依据（满分9分） ①管理机构：每完全满足一个评审标准得1.5分，方案缺漏得1分，满分3分； ②岗位职责制度:每完全满足一个评审标准得1.5分，方案缺漏得1分，满分3分；③专业技术人员投入：每完全满足一个评审标准得1.5分，方案缺漏得1分，满分3分。未提供方案得0分。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区间分值：0-4分。 评审标准细化内容： 包含但不限于①可能发生的紧急情况及应急预案；②安全保障措施。 评审标准 1、完整性：针对本项目的应急预案、安全保障措施，有详细描述； 2、真实性：结合本项目实际情况，提出步骤清晰、合理的措施。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区间分值：0-10分。 评审标准细化内容：包含但不限于①服务承诺；②保证措施。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（1）评审标准细化内容全面详细、阐述条理清晰详尽、符合本项目采购需求得10分；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1.经资格审查、符合性审查合格的投标文件，其投标报价为有效报价，对有效投标报价进行价格评审。 2.投标报价得分：满足招标文件要求且投标报价最低的投标报价为评标基准价，其价格分为满分。价格分按照下列公式计算：投标报价得分=（评标基准价/投标报价）×20。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