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5FD2B">
      <w:pPr>
        <w:spacing w:line="500" w:lineRule="exact"/>
        <w:ind w:firstLine="560" w:firstLineChars="200"/>
        <w:jc w:val="center"/>
        <w:rPr>
          <w:rFonts w:hint="eastAsia" w:ascii="宋体" w:hAnsi="宋体"/>
          <w:b/>
          <w:sz w:val="28"/>
          <w:szCs w:val="28"/>
        </w:rPr>
      </w:pPr>
      <w:bookmarkStart w:id="0" w:name="_Hlk184390899"/>
      <w:r>
        <w:rPr>
          <w:rFonts w:hint="eastAsia" w:ascii="宋体" w:hAnsi="宋体"/>
          <w:b/>
          <w:sz w:val="28"/>
          <w:szCs w:val="28"/>
        </w:rPr>
        <w:t>合同（仅供参考）</w:t>
      </w:r>
    </w:p>
    <w:p w14:paraId="3E6E0B1A">
      <w:pPr>
        <w:adjustRightInd w:val="0"/>
        <w:snapToGrid w:val="0"/>
        <w:spacing w:line="460" w:lineRule="exact"/>
        <w:rPr>
          <w:rFonts w:hint="eastAsia" w:ascii="宋体" w:hAnsi="宋体" w:eastAsia="宋体" w:cs="宋体"/>
          <w:sz w:val="24"/>
        </w:rPr>
      </w:pPr>
      <w:bookmarkStart w:id="1" w:name="_Hlk181186344"/>
      <w:r>
        <w:rPr>
          <w:rFonts w:hint="eastAsia" w:ascii="宋体" w:hAnsi="宋体" w:eastAsia="宋体" w:cs="宋体"/>
          <w:sz w:val="24"/>
        </w:rPr>
        <w:t>甲方：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EACABEE">
      <w:pPr>
        <w:adjustRightInd w:val="0"/>
        <w:snapToGrid w:val="0"/>
        <w:spacing w:line="460" w:lineRule="exact"/>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614C87E0">
      <w:pPr>
        <w:adjustRightInd w:val="0"/>
        <w:snapToGrid w:val="0"/>
        <w:spacing w:line="460" w:lineRule="exact"/>
        <w:rPr>
          <w:rFonts w:hint="eastAsia" w:ascii="宋体" w:hAnsi="宋体" w:eastAsia="宋体" w:cs="宋体"/>
          <w:sz w:val="24"/>
          <w:u w:val="single"/>
        </w:rPr>
      </w:pPr>
      <w:r>
        <w:rPr>
          <w:rFonts w:hint="eastAsia" w:ascii="宋体" w:hAnsi="宋体" w:eastAsia="宋体" w:cs="宋体"/>
          <w:sz w:val="24"/>
        </w:rPr>
        <w:t>统一信用代码：</w:t>
      </w:r>
      <w:r>
        <w:rPr>
          <w:rFonts w:hint="eastAsia" w:ascii="宋体" w:hAnsi="宋体" w:eastAsia="宋体" w:cs="宋体"/>
          <w:sz w:val="24"/>
          <w:u w:val="single"/>
        </w:rPr>
        <w:t xml:space="preserve">                </w:t>
      </w:r>
    </w:p>
    <w:p w14:paraId="500581FA">
      <w:pPr>
        <w:adjustRightInd w:val="0"/>
        <w:snapToGrid w:val="0"/>
        <w:spacing w:line="460" w:lineRule="exact"/>
        <w:rPr>
          <w:rFonts w:hint="eastAsia" w:ascii="宋体" w:hAnsi="宋体" w:eastAsia="宋体" w:cs="宋体"/>
          <w:sz w:val="24"/>
        </w:rPr>
      </w:pPr>
      <w:r>
        <w:rPr>
          <w:rFonts w:hint="eastAsia" w:ascii="宋体" w:hAnsi="宋体" w:eastAsia="宋体" w:cs="宋体"/>
          <w:sz w:val="24"/>
        </w:rPr>
        <w:t>乙方：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E583958">
      <w:pPr>
        <w:adjustRightInd w:val="0"/>
        <w:snapToGrid w:val="0"/>
        <w:spacing w:line="460" w:lineRule="exact"/>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199CE9E5">
      <w:pPr>
        <w:adjustRightInd w:val="0"/>
        <w:snapToGrid w:val="0"/>
        <w:spacing w:line="460" w:lineRule="exact"/>
        <w:rPr>
          <w:rFonts w:hint="eastAsia" w:ascii="宋体" w:hAnsi="宋体" w:eastAsia="宋体" w:cs="宋体"/>
          <w:sz w:val="24"/>
          <w:lang w:val="zh-CN"/>
        </w:rPr>
      </w:pPr>
      <w:r>
        <w:rPr>
          <w:rFonts w:hint="eastAsia" w:ascii="宋体" w:hAnsi="宋体" w:eastAsia="宋体" w:cs="宋体"/>
          <w:sz w:val="24"/>
        </w:rPr>
        <w:t>统一信用代码：</w:t>
      </w:r>
      <w:r>
        <w:rPr>
          <w:rFonts w:hint="eastAsia" w:ascii="宋体" w:hAnsi="宋体" w:eastAsia="宋体" w:cs="宋体"/>
          <w:sz w:val="24"/>
          <w:u w:val="single"/>
        </w:rPr>
        <w:t xml:space="preserve">                </w:t>
      </w:r>
    </w:p>
    <w:p w14:paraId="33C5B2A9">
      <w:pPr>
        <w:overflowPunct w:val="0"/>
        <w:adjustRightInd w:val="0"/>
        <w:snapToGrid w:val="0"/>
        <w:spacing w:line="460" w:lineRule="exact"/>
        <w:rPr>
          <w:rFonts w:hint="eastAsia" w:ascii="宋体" w:hAnsi="宋体" w:eastAsia="宋体" w:cs="仿宋_GB2312"/>
          <w:kern w:val="0"/>
          <w:sz w:val="24"/>
          <w:shd w:val="clear" w:color="auto" w:fill="FFFFFF"/>
        </w:rPr>
      </w:pPr>
    </w:p>
    <w:p w14:paraId="4263C746">
      <w:pPr>
        <w:overflowPunct w:val="0"/>
        <w:adjustRightInd w:val="0"/>
        <w:snapToGrid w:val="0"/>
        <w:spacing w:line="460" w:lineRule="exact"/>
        <w:ind w:firstLine="480" w:firstLineChars="200"/>
        <w:rPr>
          <w:rFonts w:hint="eastAsia" w:ascii="宋体" w:hAnsi="宋体" w:eastAsia="宋体" w:cs="仿宋_GB2312"/>
          <w:kern w:val="0"/>
          <w:sz w:val="24"/>
          <w:shd w:val="clear" w:color="auto" w:fill="FFFFFF"/>
        </w:rPr>
      </w:pPr>
      <w:r>
        <w:rPr>
          <w:rFonts w:hint="eastAsia" w:ascii="宋体" w:hAnsi="宋体" w:eastAsia="宋体" w:cs="仿宋_GB2312"/>
          <w:kern w:val="0"/>
          <w:sz w:val="24"/>
        </w:rPr>
        <w:t>依据《中华人民共和国民法典》经甲、乙双方共同协商，按下述条款和条件签署本合同。</w:t>
      </w:r>
    </w:p>
    <w:p w14:paraId="08E0A605">
      <w:pPr>
        <w:overflowPunct w:val="0"/>
        <w:adjustRightInd w:val="0"/>
        <w:snapToGrid w:val="0"/>
        <w:spacing w:after="156" w:afterLines="50" w:line="460" w:lineRule="exact"/>
        <w:ind w:firstLine="482" w:firstLineChars="200"/>
        <w:rPr>
          <w:rFonts w:hint="eastAsia" w:ascii="宋体" w:hAnsi="宋体" w:eastAsia="宋体" w:cs="Times New Roman"/>
          <w:kern w:val="0"/>
          <w:sz w:val="20"/>
          <w:szCs w:val="20"/>
        </w:rPr>
      </w:pPr>
      <w:bookmarkStart w:id="2" w:name="_Toc29437"/>
      <w:bookmarkStart w:id="3" w:name="_Toc11641"/>
      <w:r>
        <w:rPr>
          <w:rFonts w:hint="eastAsia" w:ascii="宋体" w:hAnsi="宋体" w:eastAsia="宋体" w:cs="宋体"/>
          <w:b/>
          <w:bCs/>
          <w:kern w:val="0"/>
          <w:sz w:val="24"/>
        </w:rPr>
        <w:t>1.合同标的及数量</w:t>
      </w:r>
      <w:bookmarkEnd w:id="2"/>
      <w:bookmarkEnd w:id="3"/>
    </w:p>
    <w:tbl>
      <w:tblPr>
        <w:tblStyle w:val="4"/>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14:paraId="439C25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vAlign w:val="center"/>
          </w:tcPr>
          <w:p w14:paraId="2D4DBC46">
            <w:pPr>
              <w:snapToGrid w:val="0"/>
              <w:spacing w:line="400" w:lineRule="exact"/>
              <w:jc w:val="center"/>
              <w:rPr>
                <w:rFonts w:hint="eastAsia" w:ascii="宋体" w:hAnsi="宋体" w:eastAsia="宋体" w:cs="宋体"/>
                <w:sz w:val="24"/>
              </w:rPr>
            </w:pPr>
            <w:r>
              <w:rPr>
                <w:rFonts w:hint="eastAsia" w:ascii="宋体" w:hAnsi="宋体" w:eastAsia="宋体" w:cs="宋体"/>
                <w:sz w:val="24"/>
              </w:rPr>
              <w:t>序号</w:t>
            </w:r>
          </w:p>
        </w:tc>
        <w:tc>
          <w:tcPr>
            <w:tcW w:w="1967" w:type="dxa"/>
            <w:vAlign w:val="center"/>
          </w:tcPr>
          <w:p w14:paraId="1A3C9496">
            <w:pPr>
              <w:snapToGrid w:val="0"/>
              <w:spacing w:line="400" w:lineRule="exact"/>
              <w:jc w:val="center"/>
              <w:rPr>
                <w:rFonts w:hint="eastAsia" w:ascii="宋体" w:hAnsi="宋体" w:eastAsia="宋体" w:cs="宋体"/>
                <w:sz w:val="24"/>
              </w:rPr>
            </w:pPr>
            <w:r>
              <w:rPr>
                <w:rFonts w:hint="eastAsia" w:ascii="宋体" w:hAnsi="宋体" w:eastAsia="宋体" w:cs="宋体"/>
                <w:sz w:val="24"/>
              </w:rPr>
              <w:t>产品名称</w:t>
            </w:r>
          </w:p>
        </w:tc>
        <w:tc>
          <w:tcPr>
            <w:tcW w:w="991" w:type="dxa"/>
            <w:vAlign w:val="center"/>
          </w:tcPr>
          <w:p w14:paraId="211CF917">
            <w:pPr>
              <w:snapToGrid w:val="0"/>
              <w:spacing w:line="400" w:lineRule="exact"/>
              <w:jc w:val="center"/>
              <w:rPr>
                <w:rFonts w:hint="eastAsia" w:ascii="宋体" w:hAnsi="宋体" w:eastAsia="宋体" w:cs="宋体"/>
                <w:sz w:val="24"/>
              </w:rPr>
            </w:pPr>
            <w:r>
              <w:rPr>
                <w:rFonts w:hint="eastAsia" w:ascii="宋体" w:hAnsi="宋体" w:eastAsia="宋体" w:cs="宋体"/>
                <w:sz w:val="24"/>
              </w:rPr>
              <w:t>单价（元）</w:t>
            </w:r>
          </w:p>
        </w:tc>
        <w:tc>
          <w:tcPr>
            <w:tcW w:w="706" w:type="dxa"/>
            <w:tcBorders>
              <w:right w:val="single" w:color="auto" w:sz="4" w:space="0"/>
            </w:tcBorders>
            <w:vAlign w:val="center"/>
          </w:tcPr>
          <w:p w14:paraId="6F8C9C7A">
            <w:pPr>
              <w:snapToGrid w:val="0"/>
              <w:spacing w:line="400" w:lineRule="exact"/>
              <w:jc w:val="center"/>
              <w:rPr>
                <w:rFonts w:hint="eastAsia" w:ascii="宋体" w:hAnsi="宋体" w:eastAsia="宋体" w:cs="宋体"/>
                <w:sz w:val="24"/>
              </w:rPr>
            </w:pPr>
            <w:r>
              <w:rPr>
                <w:rFonts w:hint="eastAsia" w:ascii="宋体" w:hAnsi="宋体" w:eastAsia="宋体" w:cs="宋体"/>
                <w:sz w:val="24"/>
              </w:rPr>
              <w:t>数量</w:t>
            </w:r>
          </w:p>
        </w:tc>
        <w:tc>
          <w:tcPr>
            <w:tcW w:w="705" w:type="dxa"/>
            <w:tcBorders>
              <w:left w:val="single" w:color="auto" w:sz="4" w:space="0"/>
            </w:tcBorders>
            <w:vAlign w:val="center"/>
          </w:tcPr>
          <w:p w14:paraId="005BEC36">
            <w:pPr>
              <w:snapToGrid w:val="0"/>
              <w:spacing w:line="400" w:lineRule="exact"/>
              <w:jc w:val="center"/>
              <w:rPr>
                <w:rFonts w:hint="eastAsia" w:ascii="宋体" w:hAnsi="宋体" w:eastAsia="宋体" w:cs="宋体"/>
                <w:sz w:val="24"/>
              </w:rPr>
            </w:pPr>
            <w:r>
              <w:rPr>
                <w:rFonts w:hint="eastAsia" w:ascii="宋体" w:hAnsi="宋体" w:eastAsia="宋体" w:cs="宋体"/>
                <w:sz w:val="24"/>
              </w:rPr>
              <w:t>单位</w:t>
            </w:r>
          </w:p>
        </w:tc>
        <w:tc>
          <w:tcPr>
            <w:tcW w:w="1114" w:type="dxa"/>
            <w:tcBorders>
              <w:right w:val="single" w:color="auto" w:sz="4" w:space="0"/>
            </w:tcBorders>
            <w:vAlign w:val="center"/>
          </w:tcPr>
          <w:p w14:paraId="618178B4">
            <w:pPr>
              <w:adjustRightInd w:val="0"/>
              <w:snapToGrid w:val="0"/>
              <w:spacing w:line="400" w:lineRule="exact"/>
              <w:jc w:val="center"/>
              <w:rPr>
                <w:rFonts w:hint="eastAsia" w:ascii="宋体" w:hAnsi="宋体" w:eastAsia="宋体" w:cs="宋体"/>
                <w:sz w:val="24"/>
              </w:rPr>
            </w:pPr>
            <w:r>
              <w:rPr>
                <w:rFonts w:hint="eastAsia" w:ascii="宋体" w:hAnsi="宋体" w:eastAsia="宋体" w:cs="宋体"/>
                <w:sz w:val="24"/>
              </w:rPr>
              <w:t>金额（元）</w:t>
            </w:r>
          </w:p>
        </w:tc>
        <w:tc>
          <w:tcPr>
            <w:tcW w:w="1063" w:type="dxa"/>
            <w:tcBorders>
              <w:left w:val="single" w:color="auto" w:sz="4" w:space="0"/>
            </w:tcBorders>
            <w:vAlign w:val="center"/>
          </w:tcPr>
          <w:p w14:paraId="3F008E39">
            <w:pPr>
              <w:adjustRightInd w:val="0"/>
              <w:snapToGrid w:val="0"/>
              <w:spacing w:line="400" w:lineRule="exact"/>
              <w:jc w:val="center"/>
              <w:rPr>
                <w:rFonts w:hint="eastAsia" w:ascii="宋体" w:hAnsi="宋体" w:eastAsia="宋体" w:cs="宋体"/>
                <w:sz w:val="24"/>
              </w:rPr>
            </w:pPr>
            <w:r>
              <w:rPr>
                <w:rFonts w:hint="eastAsia" w:ascii="宋体" w:hAnsi="宋体" w:eastAsia="宋体" w:cs="宋体"/>
                <w:sz w:val="24"/>
              </w:rPr>
              <w:t>制造商</w:t>
            </w:r>
          </w:p>
        </w:tc>
        <w:tc>
          <w:tcPr>
            <w:tcW w:w="2069" w:type="dxa"/>
            <w:vAlign w:val="center"/>
          </w:tcPr>
          <w:p w14:paraId="70F35F4E">
            <w:pPr>
              <w:snapToGrid w:val="0"/>
              <w:spacing w:line="400" w:lineRule="exact"/>
              <w:jc w:val="center"/>
              <w:rPr>
                <w:rFonts w:hint="eastAsia" w:ascii="宋体" w:hAnsi="宋体" w:eastAsia="宋体" w:cs="宋体"/>
                <w:sz w:val="24"/>
              </w:rPr>
            </w:pPr>
            <w:r>
              <w:rPr>
                <w:rFonts w:hint="eastAsia" w:ascii="宋体" w:hAnsi="宋体" w:eastAsia="宋体" w:cs="宋体"/>
                <w:sz w:val="24"/>
              </w:rPr>
              <w:t>技术参数</w:t>
            </w:r>
          </w:p>
        </w:tc>
      </w:tr>
      <w:tr w14:paraId="4EAA7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58559F31">
            <w:pPr>
              <w:snapToGrid w:val="0"/>
              <w:spacing w:line="400" w:lineRule="exact"/>
              <w:rPr>
                <w:rFonts w:hint="eastAsia" w:ascii="宋体" w:hAnsi="宋体" w:eastAsia="宋体" w:cs="宋体"/>
                <w:sz w:val="24"/>
              </w:rPr>
            </w:pPr>
          </w:p>
        </w:tc>
        <w:tc>
          <w:tcPr>
            <w:tcW w:w="1967" w:type="dxa"/>
          </w:tcPr>
          <w:p w14:paraId="67C902A6">
            <w:pPr>
              <w:snapToGrid w:val="0"/>
              <w:spacing w:line="400" w:lineRule="exact"/>
              <w:rPr>
                <w:rFonts w:hint="eastAsia" w:ascii="宋体" w:hAnsi="宋体" w:eastAsia="宋体" w:cs="宋体"/>
                <w:sz w:val="24"/>
              </w:rPr>
            </w:pPr>
          </w:p>
        </w:tc>
        <w:tc>
          <w:tcPr>
            <w:tcW w:w="991" w:type="dxa"/>
          </w:tcPr>
          <w:p w14:paraId="25779111">
            <w:pPr>
              <w:snapToGrid w:val="0"/>
              <w:spacing w:line="400" w:lineRule="exact"/>
              <w:rPr>
                <w:rFonts w:hint="eastAsia" w:ascii="宋体" w:hAnsi="宋体" w:eastAsia="宋体" w:cs="宋体"/>
                <w:sz w:val="24"/>
              </w:rPr>
            </w:pPr>
          </w:p>
        </w:tc>
        <w:tc>
          <w:tcPr>
            <w:tcW w:w="706" w:type="dxa"/>
            <w:tcBorders>
              <w:right w:val="single" w:color="auto" w:sz="4" w:space="0"/>
            </w:tcBorders>
          </w:tcPr>
          <w:p w14:paraId="77050F31">
            <w:pPr>
              <w:snapToGrid w:val="0"/>
              <w:spacing w:line="400" w:lineRule="exact"/>
              <w:rPr>
                <w:rFonts w:hint="eastAsia" w:ascii="宋体" w:hAnsi="宋体" w:eastAsia="宋体" w:cs="宋体"/>
                <w:sz w:val="24"/>
              </w:rPr>
            </w:pPr>
          </w:p>
        </w:tc>
        <w:tc>
          <w:tcPr>
            <w:tcW w:w="705" w:type="dxa"/>
            <w:tcBorders>
              <w:left w:val="single" w:color="auto" w:sz="4" w:space="0"/>
            </w:tcBorders>
          </w:tcPr>
          <w:p w14:paraId="1824B8B9">
            <w:pPr>
              <w:snapToGrid w:val="0"/>
              <w:spacing w:line="400" w:lineRule="exact"/>
              <w:rPr>
                <w:rFonts w:hint="eastAsia" w:ascii="宋体" w:hAnsi="宋体" w:eastAsia="宋体" w:cs="宋体"/>
                <w:sz w:val="24"/>
              </w:rPr>
            </w:pPr>
          </w:p>
        </w:tc>
        <w:tc>
          <w:tcPr>
            <w:tcW w:w="1114" w:type="dxa"/>
            <w:tcBorders>
              <w:right w:val="single" w:color="auto" w:sz="4" w:space="0"/>
            </w:tcBorders>
          </w:tcPr>
          <w:p w14:paraId="53CF56AA">
            <w:pPr>
              <w:snapToGrid w:val="0"/>
              <w:spacing w:line="400" w:lineRule="exact"/>
              <w:rPr>
                <w:rFonts w:hint="eastAsia" w:ascii="宋体" w:hAnsi="宋体" w:eastAsia="宋体" w:cs="宋体"/>
                <w:sz w:val="24"/>
              </w:rPr>
            </w:pPr>
          </w:p>
        </w:tc>
        <w:tc>
          <w:tcPr>
            <w:tcW w:w="1063" w:type="dxa"/>
            <w:tcBorders>
              <w:left w:val="single" w:color="auto" w:sz="4" w:space="0"/>
            </w:tcBorders>
          </w:tcPr>
          <w:p w14:paraId="543CA035">
            <w:pPr>
              <w:snapToGrid w:val="0"/>
              <w:spacing w:line="400" w:lineRule="exact"/>
              <w:rPr>
                <w:rFonts w:hint="eastAsia" w:ascii="宋体" w:hAnsi="宋体" w:eastAsia="宋体" w:cs="宋体"/>
                <w:sz w:val="24"/>
              </w:rPr>
            </w:pPr>
          </w:p>
        </w:tc>
        <w:tc>
          <w:tcPr>
            <w:tcW w:w="2069" w:type="dxa"/>
          </w:tcPr>
          <w:p w14:paraId="34DAF309">
            <w:pPr>
              <w:snapToGrid w:val="0"/>
              <w:spacing w:line="400" w:lineRule="exact"/>
              <w:rPr>
                <w:rFonts w:hint="eastAsia" w:ascii="宋体" w:hAnsi="宋体" w:eastAsia="宋体" w:cs="宋体"/>
                <w:sz w:val="24"/>
              </w:rPr>
            </w:pPr>
          </w:p>
        </w:tc>
      </w:tr>
      <w:tr w14:paraId="4A8E2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7D57B320">
            <w:pPr>
              <w:snapToGrid w:val="0"/>
              <w:spacing w:line="400" w:lineRule="exact"/>
              <w:rPr>
                <w:rFonts w:hint="eastAsia" w:ascii="宋体" w:hAnsi="宋体" w:eastAsia="宋体" w:cs="宋体"/>
                <w:sz w:val="24"/>
              </w:rPr>
            </w:pPr>
          </w:p>
        </w:tc>
        <w:tc>
          <w:tcPr>
            <w:tcW w:w="1967" w:type="dxa"/>
          </w:tcPr>
          <w:p w14:paraId="287FC890">
            <w:pPr>
              <w:snapToGrid w:val="0"/>
              <w:spacing w:line="400" w:lineRule="exact"/>
              <w:rPr>
                <w:rFonts w:hint="eastAsia" w:ascii="宋体" w:hAnsi="宋体" w:eastAsia="宋体" w:cs="宋体"/>
                <w:sz w:val="24"/>
              </w:rPr>
            </w:pPr>
          </w:p>
        </w:tc>
        <w:tc>
          <w:tcPr>
            <w:tcW w:w="991" w:type="dxa"/>
          </w:tcPr>
          <w:p w14:paraId="493E128E">
            <w:pPr>
              <w:snapToGrid w:val="0"/>
              <w:spacing w:line="400" w:lineRule="exact"/>
              <w:rPr>
                <w:rFonts w:hint="eastAsia" w:ascii="宋体" w:hAnsi="宋体" w:eastAsia="宋体" w:cs="宋体"/>
                <w:sz w:val="24"/>
              </w:rPr>
            </w:pPr>
          </w:p>
        </w:tc>
        <w:tc>
          <w:tcPr>
            <w:tcW w:w="706" w:type="dxa"/>
            <w:tcBorders>
              <w:right w:val="single" w:color="auto" w:sz="4" w:space="0"/>
            </w:tcBorders>
          </w:tcPr>
          <w:p w14:paraId="6D5AAE0C">
            <w:pPr>
              <w:snapToGrid w:val="0"/>
              <w:spacing w:line="400" w:lineRule="exact"/>
              <w:rPr>
                <w:rFonts w:hint="eastAsia" w:ascii="宋体" w:hAnsi="宋体" w:eastAsia="宋体" w:cs="宋体"/>
                <w:sz w:val="24"/>
              </w:rPr>
            </w:pPr>
          </w:p>
        </w:tc>
        <w:tc>
          <w:tcPr>
            <w:tcW w:w="705" w:type="dxa"/>
            <w:tcBorders>
              <w:left w:val="single" w:color="auto" w:sz="4" w:space="0"/>
            </w:tcBorders>
          </w:tcPr>
          <w:p w14:paraId="4AD3E1BE">
            <w:pPr>
              <w:snapToGrid w:val="0"/>
              <w:spacing w:line="400" w:lineRule="exact"/>
              <w:rPr>
                <w:rFonts w:hint="eastAsia" w:ascii="宋体" w:hAnsi="宋体" w:eastAsia="宋体" w:cs="宋体"/>
                <w:sz w:val="24"/>
              </w:rPr>
            </w:pPr>
          </w:p>
        </w:tc>
        <w:tc>
          <w:tcPr>
            <w:tcW w:w="1114" w:type="dxa"/>
            <w:tcBorders>
              <w:right w:val="single" w:color="auto" w:sz="4" w:space="0"/>
            </w:tcBorders>
          </w:tcPr>
          <w:p w14:paraId="3D8818B4">
            <w:pPr>
              <w:snapToGrid w:val="0"/>
              <w:spacing w:line="400" w:lineRule="exact"/>
              <w:rPr>
                <w:rFonts w:hint="eastAsia" w:ascii="宋体" w:hAnsi="宋体" w:eastAsia="宋体" w:cs="宋体"/>
                <w:sz w:val="24"/>
              </w:rPr>
            </w:pPr>
          </w:p>
        </w:tc>
        <w:tc>
          <w:tcPr>
            <w:tcW w:w="1063" w:type="dxa"/>
            <w:tcBorders>
              <w:left w:val="single" w:color="auto" w:sz="4" w:space="0"/>
            </w:tcBorders>
          </w:tcPr>
          <w:p w14:paraId="292893B3">
            <w:pPr>
              <w:snapToGrid w:val="0"/>
              <w:spacing w:line="400" w:lineRule="exact"/>
              <w:rPr>
                <w:rFonts w:hint="eastAsia" w:ascii="宋体" w:hAnsi="宋体" w:eastAsia="宋体" w:cs="宋体"/>
                <w:sz w:val="24"/>
              </w:rPr>
            </w:pPr>
          </w:p>
        </w:tc>
        <w:tc>
          <w:tcPr>
            <w:tcW w:w="2069" w:type="dxa"/>
          </w:tcPr>
          <w:p w14:paraId="14B6F97F">
            <w:pPr>
              <w:snapToGrid w:val="0"/>
              <w:spacing w:line="400" w:lineRule="exact"/>
              <w:rPr>
                <w:rFonts w:hint="eastAsia" w:ascii="宋体" w:hAnsi="宋体" w:eastAsia="宋体" w:cs="宋体"/>
                <w:sz w:val="24"/>
              </w:rPr>
            </w:pPr>
          </w:p>
        </w:tc>
      </w:tr>
      <w:tr w14:paraId="3ACBC8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4B0E72AA">
            <w:pPr>
              <w:snapToGrid w:val="0"/>
              <w:spacing w:line="400" w:lineRule="exact"/>
              <w:rPr>
                <w:rFonts w:hint="eastAsia" w:ascii="宋体" w:hAnsi="宋体" w:eastAsia="宋体" w:cs="宋体"/>
                <w:sz w:val="24"/>
              </w:rPr>
            </w:pPr>
          </w:p>
        </w:tc>
        <w:tc>
          <w:tcPr>
            <w:tcW w:w="1967" w:type="dxa"/>
          </w:tcPr>
          <w:p w14:paraId="0451C791">
            <w:pPr>
              <w:snapToGrid w:val="0"/>
              <w:spacing w:line="400" w:lineRule="exact"/>
              <w:rPr>
                <w:rFonts w:hint="eastAsia" w:ascii="宋体" w:hAnsi="宋体" w:eastAsia="宋体" w:cs="宋体"/>
                <w:sz w:val="24"/>
              </w:rPr>
            </w:pPr>
          </w:p>
        </w:tc>
        <w:tc>
          <w:tcPr>
            <w:tcW w:w="991" w:type="dxa"/>
          </w:tcPr>
          <w:p w14:paraId="5061B70E">
            <w:pPr>
              <w:snapToGrid w:val="0"/>
              <w:spacing w:line="400" w:lineRule="exact"/>
              <w:rPr>
                <w:rFonts w:hint="eastAsia" w:ascii="宋体" w:hAnsi="宋体" w:eastAsia="宋体" w:cs="宋体"/>
                <w:sz w:val="24"/>
              </w:rPr>
            </w:pPr>
          </w:p>
        </w:tc>
        <w:tc>
          <w:tcPr>
            <w:tcW w:w="706" w:type="dxa"/>
            <w:tcBorders>
              <w:right w:val="single" w:color="auto" w:sz="4" w:space="0"/>
            </w:tcBorders>
          </w:tcPr>
          <w:p w14:paraId="4FB86276">
            <w:pPr>
              <w:snapToGrid w:val="0"/>
              <w:spacing w:line="400" w:lineRule="exact"/>
              <w:rPr>
                <w:rFonts w:hint="eastAsia" w:ascii="宋体" w:hAnsi="宋体" w:eastAsia="宋体" w:cs="宋体"/>
                <w:sz w:val="24"/>
              </w:rPr>
            </w:pPr>
          </w:p>
        </w:tc>
        <w:tc>
          <w:tcPr>
            <w:tcW w:w="705" w:type="dxa"/>
            <w:tcBorders>
              <w:left w:val="single" w:color="auto" w:sz="4" w:space="0"/>
            </w:tcBorders>
          </w:tcPr>
          <w:p w14:paraId="6FA6228E">
            <w:pPr>
              <w:snapToGrid w:val="0"/>
              <w:spacing w:line="400" w:lineRule="exact"/>
              <w:rPr>
                <w:rFonts w:hint="eastAsia" w:ascii="宋体" w:hAnsi="宋体" w:eastAsia="宋体" w:cs="宋体"/>
                <w:sz w:val="24"/>
              </w:rPr>
            </w:pPr>
          </w:p>
        </w:tc>
        <w:tc>
          <w:tcPr>
            <w:tcW w:w="1114" w:type="dxa"/>
            <w:tcBorders>
              <w:right w:val="single" w:color="auto" w:sz="4" w:space="0"/>
            </w:tcBorders>
          </w:tcPr>
          <w:p w14:paraId="53888BAF">
            <w:pPr>
              <w:snapToGrid w:val="0"/>
              <w:spacing w:line="400" w:lineRule="exact"/>
              <w:rPr>
                <w:rFonts w:hint="eastAsia" w:ascii="宋体" w:hAnsi="宋体" w:eastAsia="宋体" w:cs="宋体"/>
                <w:sz w:val="24"/>
              </w:rPr>
            </w:pPr>
          </w:p>
        </w:tc>
        <w:tc>
          <w:tcPr>
            <w:tcW w:w="1063" w:type="dxa"/>
            <w:tcBorders>
              <w:left w:val="single" w:color="auto" w:sz="4" w:space="0"/>
            </w:tcBorders>
          </w:tcPr>
          <w:p w14:paraId="38639A35">
            <w:pPr>
              <w:snapToGrid w:val="0"/>
              <w:spacing w:line="400" w:lineRule="exact"/>
              <w:rPr>
                <w:rFonts w:hint="eastAsia" w:ascii="宋体" w:hAnsi="宋体" w:eastAsia="宋体" w:cs="宋体"/>
                <w:sz w:val="24"/>
              </w:rPr>
            </w:pPr>
          </w:p>
        </w:tc>
        <w:tc>
          <w:tcPr>
            <w:tcW w:w="2069" w:type="dxa"/>
          </w:tcPr>
          <w:p w14:paraId="601FB0BA">
            <w:pPr>
              <w:snapToGrid w:val="0"/>
              <w:spacing w:line="400" w:lineRule="exact"/>
              <w:rPr>
                <w:rFonts w:hint="eastAsia" w:ascii="宋体" w:hAnsi="宋体" w:eastAsia="宋体" w:cs="宋体"/>
                <w:sz w:val="24"/>
              </w:rPr>
            </w:pPr>
          </w:p>
        </w:tc>
      </w:tr>
      <w:tr w14:paraId="144D4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36E07CC2">
            <w:pPr>
              <w:snapToGrid w:val="0"/>
              <w:spacing w:line="400" w:lineRule="exact"/>
              <w:rPr>
                <w:rFonts w:hint="eastAsia" w:ascii="宋体" w:hAnsi="宋体" w:eastAsia="宋体" w:cs="宋体"/>
                <w:sz w:val="24"/>
              </w:rPr>
            </w:pPr>
          </w:p>
        </w:tc>
        <w:tc>
          <w:tcPr>
            <w:tcW w:w="1967" w:type="dxa"/>
          </w:tcPr>
          <w:p w14:paraId="5D1EFB9C">
            <w:pPr>
              <w:snapToGrid w:val="0"/>
              <w:spacing w:line="400" w:lineRule="exact"/>
              <w:rPr>
                <w:rFonts w:hint="eastAsia" w:ascii="宋体" w:hAnsi="宋体" w:eastAsia="宋体" w:cs="宋体"/>
                <w:sz w:val="24"/>
              </w:rPr>
            </w:pPr>
          </w:p>
        </w:tc>
        <w:tc>
          <w:tcPr>
            <w:tcW w:w="991" w:type="dxa"/>
          </w:tcPr>
          <w:p w14:paraId="08A78769">
            <w:pPr>
              <w:snapToGrid w:val="0"/>
              <w:spacing w:line="400" w:lineRule="exact"/>
              <w:rPr>
                <w:rFonts w:hint="eastAsia" w:ascii="宋体" w:hAnsi="宋体" w:eastAsia="宋体" w:cs="宋体"/>
                <w:sz w:val="24"/>
              </w:rPr>
            </w:pPr>
          </w:p>
        </w:tc>
        <w:tc>
          <w:tcPr>
            <w:tcW w:w="706" w:type="dxa"/>
            <w:tcBorders>
              <w:right w:val="single" w:color="auto" w:sz="4" w:space="0"/>
            </w:tcBorders>
          </w:tcPr>
          <w:p w14:paraId="1E0284AA">
            <w:pPr>
              <w:snapToGrid w:val="0"/>
              <w:spacing w:line="400" w:lineRule="exact"/>
              <w:rPr>
                <w:rFonts w:hint="eastAsia" w:ascii="宋体" w:hAnsi="宋体" w:eastAsia="宋体" w:cs="宋体"/>
                <w:sz w:val="24"/>
              </w:rPr>
            </w:pPr>
          </w:p>
        </w:tc>
        <w:tc>
          <w:tcPr>
            <w:tcW w:w="705" w:type="dxa"/>
            <w:tcBorders>
              <w:left w:val="single" w:color="auto" w:sz="4" w:space="0"/>
            </w:tcBorders>
          </w:tcPr>
          <w:p w14:paraId="61A8261A">
            <w:pPr>
              <w:snapToGrid w:val="0"/>
              <w:spacing w:line="400" w:lineRule="exact"/>
              <w:rPr>
                <w:rFonts w:hint="eastAsia" w:ascii="宋体" w:hAnsi="宋体" w:eastAsia="宋体" w:cs="宋体"/>
                <w:sz w:val="24"/>
              </w:rPr>
            </w:pPr>
          </w:p>
        </w:tc>
        <w:tc>
          <w:tcPr>
            <w:tcW w:w="1114" w:type="dxa"/>
            <w:tcBorders>
              <w:right w:val="single" w:color="auto" w:sz="4" w:space="0"/>
            </w:tcBorders>
          </w:tcPr>
          <w:p w14:paraId="0ACAA411">
            <w:pPr>
              <w:snapToGrid w:val="0"/>
              <w:spacing w:line="400" w:lineRule="exact"/>
              <w:rPr>
                <w:rFonts w:hint="eastAsia" w:ascii="宋体" w:hAnsi="宋体" w:eastAsia="宋体" w:cs="宋体"/>
                <w:sz w:val="24"/>
              </w:rPr>
            </w:pPr>
          </w:p>
        </w:tc>
        <w:tc>
          <w:tcPr>
            <w:tcW w:w="1063" w:type="dxa"/>
            <w:tcBorders>
              <w:left w:val="single" w:color="auto" w:sz="4" w:space="0"/>
            </w:tcBorders>
          </w:tcPr>
          <w:p w14:paraId="1B04D3E1">
            <w:pPr>
              <w:snapToGrid w:val="0"/>
              <w:spacing w:line="400" w:lineRule="exact"/>
              <w:rPr>
                <w:rFonts w:hint="eastAsia" w:ascii="宋体" w:hAnsi="宋体" w:eastAsia="宋体" w:cs="宋体"/>
                <w:sz w:val="24"/>
              </w:rPr>
            </w:pPr>
          </w:p>
        </w:tc>
        <w:tc>
          <w:tcPr>
            <w:tcW w:w="2069" w:type="dxa"/>
          </w:tcPr>
          <w:p w14:paraId="23411EF4">
            <w:pPr>
              <w:snapToGrid w:val="0"/>
              <w:spacing w:line="400" w:lineRule="exact"/>
              <w:rPr>
                <w:rFonts w:hint="eastAsia" w:ascii="宋体" w:hAnsi="宋体" w:eastAsia="宋体" w:cs="宋体"/>
                <w:sz w:val="24"/>
              </w:rPr>
            </w:pPr>
          </w:p>
        </w:tc>
      </w:tr>
      <w:tr w14:paraId="24AFD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tcPr>
          <w:p w14:paraId="7329C678">
            <w:pPr>
              <w:snapToGrid w:val="0"/>
              <w:spacing w:line="400" w:lineRule="exact"/>
              <w:rPr>
                <w:rFonts w:hint="eastAsia" w:ascii="宋体" w:hAnsi="宋体" w:eastAsia="宋体" w:cs="宋体"/>
                <w:sz w:val="24"/>
              </w:rPr>
            </w:pPr>
            <w:r>
              <w:rPr>
                <w:rFonts w:hint="eastAsia" w:ascii="宋体" w:hAnsi="宋体" w:eastAsia="宋体" w:cs="宋体"/>
                <w:sz w:val="24"/>
              </w:rPr>
              <w:t>合计（大写）：                               元（¥</w:t>
            </w:r>
            <w:r>
              <w:rPr>
                <w:rFonts w:hint="eastAsia" w:ascii="宋体" w:hAnsi="宋体" w:eastAsia="宋体" w:cs="宋体"/>
                <w:sz w:val="24"/>
                <w:u w:val="single"/>
              </w:rPr>
              <w:t xml:space="preserve">                  </w:t>
            </w:r>
            <w:r>
              <w:rPr>
                <w:rFonts w:hint="eastAsia" w:ascii="宋体" w:hAnsi="宋体" w:eastAsia="宋体" w:cs="宋体"/>
                <w:sz w:val="24"/>
              </w:rPr>
              <w:t xml:space="preserve">元）                       </w:t>
            </w:r>
          </w:p>
        </w:tc>
      </w:tr>
    </w:tbl>
    <w:p w14:paraId="07F7537C">
      <w:pPr>
        <w:overflowPunct w:val="0"/>
        <w:adjustRightInd w:val="0"/>
        <w:snapToGrid w:val="0"/>
        <w:spacing w:line="460" w:lineRule="exact"/>
        <w:ind w:firstLine="482" w:firstLineChars="200"/>
        <w:rPr>
          <w:rFonts w:hint="eastAsia" w:ascii="宋体" w:hAnsi="宋体" w:eastAsia="宋体" w:cs="宋体"/>
          <w:b/>
          <w:bCs/>
          <w:kern w:val="0"/>
          <w:sz w:val="24"/>
        </w:rPr>
      </w:pPr>
      <w:bookmarkStart w:id="4" w:name="_Toc31275"/>
      <w:bookmarkStart w:id="5" w:name="_Toc11652"/>
      <w:r>
        <w:rPr>
          <w:rFonts w:hint="eastAsia" w:ascii="宋体" w:hAnsi="宋体" w:eastAsia="宋体" w:cs="宋体"/>
          <w:b/>
          <w:bCs/>
          <w:kern w:val="0"/>
          <w:sz w:val="24"/>
        </w:rPr>
        <w:t>2.合同价格</w:t>
      </w:r>
      <w:bookmarkEnd w:id="4"/>
      <w:bookmarkEnd w:id="5"/>
    </w:p>
    <w:p w14:paraId="364A63C3">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合同总价：人民币（大写）</w:t>
      </w:r>
      <w:r>
        <w:rPr>
          <w:rFonts w:hint="eastAsia" w:ascii="宋体" w:hAnsi="宋体" w:eastAsia="宋体" w:cs="宋体"/>
          <w:kern w:val="0"/>
          <w:sz w:val="24"/>
          <w:u w:val="single"/>
        </w:rPr>
        <w:t xml:space="preserve">           </w:t>
      </w:r>
      <w:r>
        <w:rPr>
          <w:rFonts w:hint="eastAsia" w:ascii="宋体" w:hAnsi="宋体" w:eastAsia="宋体" w:cs="宋体"/>
          <w:kern w:val="0"/>
          <w:sz w:val="24"/>
        </w:rPr>
        <w:t>元（¥</w:t>
      </w:r>
      <w:r>
        <w:rPr>
          <w:rFonts w:hint="eastAsia" w:ascii="宋体" w:hAnsi="宋体" w:eastAsia="宋体" w:cs="宋体"/>
          <w:kern w:val="0"/>
          <w:sz w:val="24"/>
          <w:u w:val="single"/>
        </w:rPr>
        <w:t xml:space="preserve">           </w:t>
      </w:r>
      <w:r>
        <w:rPr>
          <w:rFonts w:hint="eastAsia" w:ascii="宋体" w:hAnsi="宋体" w:eastAsia="宋体" w:cs="宋体"/>
          <w:kern w:val="0"/>
          <w:sz w:val="24"/>
        </w:rPr>
        <w:t>元）。</w:t>
      </w:r>
    </w:p>
    <w:p w14:paraId="5EE1EDA7">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2.1合同总价为甲方指定地点的交货价，包含但不限于设备、包装、运输、安装、调试、培训、质保、税金、关税（进口产品）等费用。</w:t>
      </w:r>
    </w:p>
    <w:p w14:paraId="1C671A41">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2.2合同为总价合同，不受市场价格变化的影响。</w:t>
      </w:r>
    </w:p>
    <w:p w14:paraId="25624E5D">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3.支付约定</w:t>
      </w:r>
    </w:p>
    <w:p w14:paraId="71D03A94">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采购包1：付款条件说明：货到现场安装、调试完毕，所有设备使用无质量问题，项目验收合格后，达到付款条件起 5 日内，支付合同总金额的 70.00%。</w:t>
      </w:r>
    </w:p>
    <w:p w14:paraId="2A23F29E">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采购包1：付款条件说明：项目决算完成后 ，达到付款条件起 5 日内，支付合同总金额的 30.00%。</w:t>
      </w:r>
    </w:p>
    <w:p w14:paraId="401F64A6">
      <w:pPr>
        <w:overflowPunct w:val="0"/>
        <w:adjustRightInd w:val="0"/>
        <w:snapToGrid w:val="0"/>
        <w:spacing w:line="460" w:lineRule="exact"/>
        <w:ind w:firstLine="482"/>
        <w:rPr>
          <w:rFonts w:hint="eastAsia" w:ascii="宋体" w:hAnsi="宋体" w:eastAsia="宋体" w:cs="宋体"/>
          <w:b/>
          <w:bCs/>
          <w:kern w:val="0"/>
          <w:sz w:val="24"/>
        </w:rPr>
      </w:pPr>
      <w:bookmarkStart w:id="6" w:name="_Toc31149"/>
      <w:bookmarkStart w:id="7" w:name="_Toc19087"/>
      <w:r>
        <w:rPr>
          <w:rFonts w:hint="eastAsia" w:ascii="宋体" w:hAnsi="宋体" w:eastAsia="宋体" w:cs="宋体"/>
          <w:b/>
          <w:bCs/>
          <w:kern w:val="0"/>
          <w:sz w:val="24"/>
        </w:rPr>
        <w:t>4.甲乙双方的权利和义务</w:t>
      </w:r>
      <w:bookmarkEnd w:id="6"/>
      <w:bookmarkEnd w:id="7"/>
    </w:p>
    <w:p w14:paraId="0F651890">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4.1甲方的权利和义务</w:t>
      </w:r>
    </w:p>
    <w:p w14:paraId="346C0123">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4.1.1负责合同签订后项目实施的工作（包括与乙方的具体联系和衔接，现场安装调试时配备人员进行监管控制等）；</w:t>
      </w:r>
    </w:p>
    <w:p w14:paraId="2E7477BA">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4.1.2负责提供设备和项目安装调试所必须的场地和环境；</w:t>
      </w:r>
    </w:p>
    <w:p w14:paraId="4521F682">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4.1.3负责组织成立验收小组对设备和项目进行验收并签署验收报告；</w:t>
      </w:r>
    </w:p>
    <w:p w14:paraId="42FAAE32">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4.1.4 按合同规定享有乙方提供的设备服务。</w:t>
      </w:r>
    </w:p>
    <w:p w14:paraId="25F98D41">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4.2乙方的权利和义务</w:t>
      </w:r>
    </w:p>
    <w:p w14:paraId="71ACCF53">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4.2.1乙方保证按本合同约定负责完成甲方项目，并保证提供的设备是全新（包括零部件</w:t>
      </w:r>
      <w:r>
        <w:rPr>
          <w:rFonts w:hint="eastAsia" w:ascii="宋体" w:hAnsi="宋体" w:eastAsia="宋体" w:cs="宋体"/>
          <w:kern w:val="0"/>
          <w:sz w:val="24"/>
          <w:shd w:val="clear" w:color="auto" w:fill="FFFFFF"/>
          <w:lang w:eastAsia="zh-CN"/>
        </w:rPr>
        <w:t>、</w:t>
      </w:r>
      <w:r>
        <w:rPr>
          <w:rFonts w:hint="eastAsia" w:ascii="宋体" w:hAnsi="宋体" w:eastAsia="宋体" w:cs="宋体"/>
          <w:kern w:val="0"/>
          <w:sz w:val="24"/>
          <w:shd w:val="clear" w:color="auto" w:fill="FFFFFF"/>
          <w:lang w:val="en-US" w:eastAsia="zh-CN"/>
        </w:rPr>
        <w:t>及附属配件</w:t>
      </w:r>
      <w:r>
        <w:rPr>
          <w:rFonts w:hint="eastAsia" w:ascii="宋体" w:hAnsi="宋体" w:eastAsia="宋体" w:cs="宋体"/>
          <w:kern w:val="0"/>
          <w:sz w:val="24"/>
          <w:shd w:val="clear" w:color="auto" w:fill="FFFFFF"/>
        </w:rPr>
        <w:t>），符合招投标文件规定，具有国家有关部门注册证明并符合国家质量检测标准（进口产品具有国家有关部门完整手续）和产品出厂标准的设备，并保证设备在甲方报废前正常运行。</w:t>
      </w:r>
    </w:p>
    <w:p w14:paraId="0D9AA5C1">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4.2.2乙方保证对其出售的货物享有合法的权利，保证对其出售的货物上不存在任何未曾向甲方透露的担保物权，如抵押权、质押权、留置权。</w:t>
      </w:r>
    </w:p>
    <w:p w14:paraId="00D5A7AC">
      <w:pPr>
        <w:overflowPunct w:val="0"/>
        <w:adjustRightInd w:val="0"/>
        <w:snapToGrid w:val="0"/>
        <w:spacing w:line="460" w:lineRule="exact"/>
        <w:ind w:firstLine="480" w:firstLineChars="200"/>
        <w:rPr>
          <w:rFonts w:hint="default" w:ascii="宋体" w:hAnsi="宋体" w:eastAsia="宋体" w:cs="宋体"/>
          <w:kern w:val="0"/>
          <w:sz w:val="24"/>
          <w:shd w:val="clear" w:color="auto" w:fill="FFFFFF"/>
          <w:lang w:val="en-US" w:eastAsia="zh-CN"/>
        </w:rPr>
      </w:pPr>
      <w:r>
        <w:rPr>
          <w:rFonts w:hint="eastAsia" w:ascii="宋体" w:hAnsi="宋体" w:eastAsia="宋体" w:cs="宋体"/>
          <w:kern w:val="0"/>
          <w:sz w:val="24"/>
          <w:shd w:val="clear" w:color="auto" w:fill="FFFFFF"/>
        </w:rPr>
        <w:t>4.2.3乙方保证甲方在合同设备（有配套软件的还包括软件产品）使用期间不受第三方提出侵犯其专利权、版权、商标权、工业设计权等的起诉</w:t>
      </w:r>
      <w:r>
        <w:rPr>
          <w:rFonts w:hint="eastAsia" w:ascii="宋体" w:hAnsi="宋体" w:eastAsia="宋体" w:cs="宋体"/>
          <w:kern w:val="0"/>
          <w:sz w:val="24"/>
          <w:shd w:val="clear" w:color="auto" w:fill="FFFFFF"/>
          <w:lang w:eastAsia="zh-CN"/>
        </w:rPr>
        <w:t>，</w:t>
      </w:r>
      <w:r>
        <w:rPr>
          <w:rFonts w:hint="eastAsia" w:ascii="宋体" w:hAnsi="宋体" w:eastAsia="宋体" w:cs="宋体"/>
          <w:kern w:val="0"/>
          <w:sz w:val="24"/>
          <w:shd w:val="clear" w:color="auto" w:fill="FFFFFF"/>
          <w:lang w:val="en-US" w:eastAsia="zh-CN"/>
        </w:rPr>
        <w:t>设备交付后所有权为甲方。</w:t>
      </w:r>
    </w:p>
    <w:p w14:paraId="1F8E1AB2">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4.2.4 严格遵守商务谈判中所承诺的一切规定和条款。</w:t>
      </w:r>
    </w:p>
    <w:p w14:paraId="29A2F4C2">
      <w:pPr>
        <w:overflowPunct w:val="0"/>
        <w:adjustRightInd w:val="0"/>
        <w:snapToGrid w:val="0"/>
        <w:spacing w:line="460" w:lineRule="exact"/>
        <w:ind w:firstLine="480" w:firstLineChars="200"/>
        <w:rPr>
          <w:rFonts w:hint="default" w:ascii="宋体" w:hAnsi="宋体" w:eastAsia="宋体" w:cs="宋体"/>
          <w:kern w:val="0"/>
          <w:sz w:val="24"/>
          <w:shd w:val="clear" w:color="auto" w:fill="FFFFFF"/>
          <w:lang w:val="en-US" w:eastAsia="zh-CN"/>
        </w:rPr>
      </w:pPr>
      <w:r>
        <w:rPr>
          <w:rFonts w:hint="eastAsia" w:ascii="宋体" w:hAnsi="宋体" w:eastAsia="宋体" w:cs="宋体"/>
          <w:kern w:val="0"/>
          <w:sz w:val="24"/>
          <w:shd w:val="clear" w:color="auto" w:fill="FFFFFF"/>
        </w:rPr>
        <w:t>4.2.5 参与设备和项目的验收</w:t>
      </w:r>
      <w:r>
        <w:rPr>
          <w:rFonts w:hint="eastAsia" w:ascii="宋体" w:hAnsi="宋体" w:eastAsia="宋体" w:cs="宋体"/>
          <w:kern w:val="0"/>
          <w:sz w:val="24"/>
          <w:shd w:val="clear" w:color="auto" w:fill="FFFFFF"/>
          <w:lang w:eastAsia="zh-CN"/>
        </w:rPr>
        <w:t>，</w:t>
      </w:r>
      <w:r>
        <w:rPr>
          <w:rFonts w:hint="eastAsia" w:ascii="宋体" w:hAnsi="宋体" w:eastAsia="宋体" w:cs="宋体"/>
          <w:kern w:val="0"/>
          <w:sz w:val="24"/>
          <w:shd w:val="clear" w:color="auto" w:fill="FFFFFF"/>
          <w:lang w:val="en-US" w:eastAsia="zh-CN"/>
        </w:rPr>
        <w:t>并对设备的使用进行培训。</w:t>
      </w:r>
      <w:bookmarkStart w:id="40" w:name="_GoBack"/>
      <w:bookmarkEnd w:id="40"/>
    </w:p>
    <w:p w14:paraId="6B949080">
      <w:pPr>
        <w:overflowPunct w:val="0"/>
        <w:adjustRightInd w:val="0"/>
        <w:snapToGrid w:val="0"/>
        <w:spacing w:line="460" w:lineRule="exact"/>
        <w:ind w:firstLine="482"/>
        <w:rPr>
          <w:rFonts w:hint="eastAsia" w:ascii="宋体" w:hAnsi="宋体" w:eastAsia="宋体" w:cs="宋体"/>
          <w:b/>
          <w:bCs/>
          <w:kern w:val="0"/>
          <w:sz w:val="24"/>
        </w:rPr>
      </w:pPr>
      <w:bookmarkStart w:id="8" w:name="_Toc5778"/>
      <w:bookmarkStart w:id="9" w:name="_Toc23311"/>
      <w:r>
        <w:rPr>
          <w:rFonts w:hint="eastAsia" w:ascii="宋体" w:hAnsi="宋体" w:eastAsia="宋体" w:cs="宋体"/>
          <w:b/>
          <w:bCs/>
          <w:kern w:val="0"/>
          <w:sz w:val="24"/>
        </w:rPr>
        <w:t>5.产品功能要求</w:t>
      </w:r>
      <w:bookmarkEnd w:id="8"/>
      <w:bookmarkEnd w:id="9"/>
    </w:p>
    <w:p w14:paraId="3D7874C6">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（1）产品功能符合国家质量检测标准，并满足甲方技术要求。</w:t>
      </w:r>
    </w:p>
    <w:p w14:paraId="5124B24F">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（2）本文件中供应商也称投标人，采购文件也称招标文件。</w:t>
      </w:r>
    </w:p>
    <w:p w14:paraId="07D96D80">
      <w:pPr>
        <w:overflowPunct w:val="0"/>
        <w:adjustRightInd w:val="0"/>
        <w:snapToGrid w:val="0"/>
        <w:spacing w:line="460" w:lineRule="exact"/>
        <w:ind w:firstLine="482"/>
        <w:rPr>
          <w:rFonts w:hint="eastAsia" w:ascii="宋体" w:hAnsi="宋体" w:eastAsia="宋体" w:cs="宋体"/>
          <w:b/>
          <w:bCs/>
          <w:kern w:val="0"/>
          <w:sz w:val="24"/>
        </w:rPr>
      </w:pPr>
      <w:bookmarkStart w:id="10" w:name="_Toc19004"/>
      <w:bookmarkStart w:id="11" w:name="_Toc3077"/>
      <w:r>
        <w:rPr>
          <w:rFonts w:hint="eastAsia" w:ascii="宋体" w:hAnsi="宋体" w:eastAsia="宋体" w:cs="宋体"/>
          <w:b/>
          <w:bCs/>
          <w:kern w:val="0"/>
          <w:sz w:val="24"/>
        </w:rPr>
        <w:t>6.配套设备要求及长期供应优惠条件</w:t>
      </w:r>
      <w:bookmarkEnd w:id="10"/>
      <w:bookmarkEnd w:id="11"/>
    </w:p>
    <w:p w14:paraId="3B4A7116">
      <w:pPr>
        <w:overflowPunct w:val="0"/>
        <w:adjustRightInd w:val="0"/>
        <w:snapToGrid w:val="0"/>
        <w:spacing w:line="460" w:lineRule="exact"/>
        <w:rPr>
          <w:rFonts w:hint="eastAsia" w:ascii="宋体" w:hAnsi="宋体" w:eastAsia="宋体" w:cs="宋体"/>
          <w:kern w:val="0"/>
          <w:sz w:val="24"/>
        </w:rPr>
      </w:pPr>
      <w:r>
        <w:rPr>
          <w:rFonts w:hint="eastAsia" w:ascii="宋体" w:hAnsi="宋体" w:eastAsia="宋体" w:cs="宋体"/>
          <w:kern w:val="0"/>
          <w:sz w:val="24"/>
        </w:rPr>
        <w:t xml:space="preserve">    若甲方系统需要改造或扩容，所需的设备乙方以不高于合同约定的单价提供。在保修期外，对于系统内出现故障的硬件和软件，乙方承诺及时修复或更换且只收取工作的成本费。</w:t>
      </w:r>
    </w:p>
    <w:p w14:paraId="31E12B90">
      <w:pPr>
        <w:overflowPunct w:val="0"/>
        <w:adjustRightInd w:val="0"/>
        <w:snapToGrid w:val="0"/>
        <w:spacing w:line="460" w:lineRule="exact"/>
        <w:ind w:firstLine="482"/>
        <w:rPr>
          <w:rFonts w:hint="eastAsia" w:ascii="宋体" w:hAnsi="宋体" w:eastAsia="宋体" w:cs="宋体"/>
          <w:b/>
          <w:bCs/>
          <w:kern w:val="0"/>
          <w:sz w:val="24"/>
        </w:rPr>
      </w:pPr>
      <w:bookmarkStart w:id="12" w:name="_Toc629"/>
      <w:bookmarkStart w:id="13" w:name="_Toc21406"/>
      <w:r>
        <w:rPr>
          <w:rFonts w:hint="eastAsia" w:ascii="宋体" w:hAnsi="宋体" w:eastAsia="宋体" w:cs="宋体"/>
          <w:b/>
          <w:bCs/>
          <w:kern w:val="0"/>
          <w:sz w:val="24"/>
        </w:rPr>
        <w:t>7.备品备件（含易损件）要求及长期供应优惠条件</w:t>
      </w:r>
      <w:bookmarkEnd w:id="12"/>
      <w:bookmarkEnd w:id="13"/>
    </w:p>
    <w:p w14:paraId="26511399">
      <w:pPr>
        <w:overflowPunct w:val="0"/>
        <w:adjustRightInd w:val="0"/>
        <w:snapToGrid w:val="0"/>
        <w:spacing w:line="460" w:lineRule="exact"/>
        <w:rPr>
          <w:rFonts w:hint="eastAsia" w:ascii="宋体" w:hAnsi="宋体" w:eastAsia="宋体" w:cs="宋体"/>
          <w:kern w:val="0"/>
          <w:sz w:val="24"/>
        </w:rPr>
      </w:pPr>
      <w:r>
        <w:rPr>
          <w:rFonts w:hint="eastAsia" w:ascii="宋体" w:hAnsi="宋体" w:eastAsia="宋体" w:cs="宋体"/>
          <w:kern w:val="0"/>
          <w:sz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0F6997B9">
      <w:pPr>
        <w:overflowPunct w:val="0"/>
        <w:adjustRightInd w:val="0"/>
        <w:snapToGrid w:val="0"/>
        <w:spacing w:line="460" w:lineRule="exact"/>
        <w:ind w:firstLine="482"/>
        <w:rPr>
          <w:rFonts w:hint="eastAsia" w:ascii="宋体" w:hAnsi="宋体" w:eastAsia="宋体" w:cs="宋体"/>
          <w:b/>
          <w:bCs/>
          <w:kern w:val="0"/>
          <w:sz w:val="24"/>
        </w:rPr>
      </w:pPr>
      <w:bookmarkStart w:id="14" w:name="_Toc12574"/>
      <w:bookmarkStart w:id="15" w:name="_Toc16387"/>
      <w:r>
        <w:rPr>
          <w:rFonts w:hint="eastAsia" w:ascii="宋体" w:hAnsi="宋体" w:eastAsia="宋体" w:cs="宋体"/>
          <w:b/>
          <w:bCs/>
          <w:kern w:val="0"/>
          <w:sz w:val="24"/>
        </w:rPr>
        <w:t>8.包装、标记和运输</w:t>
      </w:r>
      <w:bookmarkEnd w:id="14"/>
      <w:bookmarkEnd w:id="15"/>
    </w:p>
    <w:p w14:paraId="60EE3E17">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2ED0E6CD">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8.2 下列资料包装在合同货物的包装箱中：</w:t>
      </w:r>
    </w:p>
    <w:p w14:paraId="1F331646">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8.2.1 装箱单。</w:t>
      </w:r>
    </w:p>
    <w:p w14:paraId="05EA4011">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8.2.2 合同货物数量和货物制造商出具的质量合格证书、保修证书。</w:t>
      </w:r>
    </w:p>
    <w:p w14:paraId="06A88E5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8.2.3 随机备品备件、配件、工具、图纸、使用说明书及其它必要的技术资料（中文）。</w:t>
      </w:r>
    </w:p>
    <w:p w14:paraId="0B6961F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8.3 乙方对合同货物包装不善、标记不明、防护措施不当或在合同货物装箱前保管不良，致使合同货物遭到损坏或丢失，乙方应负责免费修理或更换，并承担由此给甲方造成的一切损失。</w:t>
      </w:r>
    </w:p>
    <w:p w14:paraId="64E12490">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8.4 货物（产品）运输方式：</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C44999B">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8.5 乙方负责货物（产品）运输，货物运输的合理损耗及计算方法</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5EC59B5C">
      <w:pPr>
        <w:overflowPunct w:val="0"/>
        <w:adjustRightInd w:val="0"/>
        <w:snapToGrid w:val="0"/>
        <w:spacing w:line="460" w:lineRule="exact"/>
        <w:ind w:firstLine="482"/>
        <w:rPr>
          <w:rFonts w:hint="eastAsia" w:ascii="宋体" w:hAnsi="宋体" w:eastAsia="宋体" w:cs="宋体"/>
          <w:b/>
          <w:bCs/>
          <w:kern w:val="0"/>
          <w:sz w:val="24"/>
        </w:rPr>
      </w:pPr>
      <w:bookmarkStart w:id="16" w:name="_Toc9580"/>
      <w:bookmarkStart w:id="17" w:name="_Toc16421"/>
      <w:r>
        <w:rPr>
          <w:rFonts w:hint="eastAsia" w:ascii="宋体" w:hAnsi="宋体" w:eastAsia="宋体" w:cs="宋体"/>
          <w:b/>
          <w:bCs/>
          <w:kern w:val="0"/>
          <w:sz w:val="24"/>
        </w:rPr>
        <w:t>9.交货</w:t>
      </w:r>
      <w:bookmarkEnd w:id="16"/>
      <w:bookmarkEnd w:id="17"/>
    </w:p>
    <w:p w14:paraId="5DE60045">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9.1 交货地点：甲方指定地点。</w:t>
      </w:r>
    </w:p>
    <w:p w14:paraId="5BA54DD4">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9.2 交货日期：</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6FA79408">
      <w:pPr>
        <w:tabs>
          <w:tab w:val="left" w:pos="567"/>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0AE6E4D4">
      <w:pPr>
        <w:tabs>
          <w:tab w:val="left" w:pos="709"/>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9.4 交货时甲方对乙方承诺的产品包装的环保材料进行验收，必要时乙方需提供检测报告，甲方发现虚假承诺时，将扣除总货款的5%作为处罚。</w:t>
      </w:r>
    </w:p>
    <w:p w14:paraId="56E55E79">
      <w:pPr>
        <w:overflowPunct w:val="0"/>
        <w:adjustRightInd w:val="0"/>
        <w:snapToGrid w:val="0"/>
        <w:spacing w:line="460" w:lineRule="exact"/>
        <w:ind w:firstLine="482"/>
        <w:rPr>
          <w:rFonts w:hint="eastAsia" w:ascii="宋体" w:hAnsi="宋体" w:eastAsia="宋体" w:cs="宋体"/>
          <w:b/>
          <w:bCs/>
          <w:kern w:val="0"/>
          <w:sz w:val="24"/>
        </w:rPr>
      </w:pPr>
      <w:bookmarkStart w:id="18" w:name="_Toc4864"/>
      <w:bookmarkStart w:id="19" w:name="_Toc25880"/>
      <w:r>
        <w:rPr>
          <w:rFonts w:hint="eastAsia" w:ascii="宋体" w:hAnsi="宋体" w:eastAsia="宋体" w:cs="宋体"/>
          <w:b/>
          <w:bCs/>
          <w:kern w:val="0"/>
          <w:sz w:val="24"/>
        </w:rPr>
        <w:t>10.质量保证</w:t>
      </w:r>
      <w:bookmarkEnd w:id="18"/>
      <w:bookmarkEnd w:id="19"/>
    </w:p>
    <w:p w14:paraId="38663068">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10.1自设备验收合格后，货物（产品）的原厂质保期为</w:t>
      </w:r>
      <w:r>
        <w:rPr>
          <w:rFonts w:hint="eastAsia" w:ascii="宋体" w:hAnsi="宋体" w:eastAsia="宋体" w:cs="宋体"/>
          <w:kern w:val="0"/>
          <w:sz w:val="24"/>
          <w:u w:val="single"/>
        </w:rPr>
        <w:t xml:space="preserve">   </w:t>
      </w:r>
      <w:r>
        <w:rPr>
          <w:rFonts w:hint="eastAsia" w:ascii="宋体" w:hAnsi="宋体" w:eastAsia="宋体" w:cs="宋体"/>
          <w:kern w:val="0"/>
          <w:sz w:val="24"/>
        </w:rPr>
        <w:t>年；投标人的售后服务期为</w:t>
      </w:r>
      <w:r>
        <w:rPr>
          <w:rFonts w:hint="eastAsia" w:ascii="宋体" w:hAnsi="宋体" w:eastAsia="宋体" w:cs="宋体"/>
          <w:kern w:val="0"/>
          <w:sz w:val="24"/>
          <w:u w:val="single"/>
        </w:rPr>
        <w:t xml:space="preserve">     </w:t>
      </w:r>
      <w:r>
        <w:rPr>
          <w:rFonts w:hint="eastAsia" w:ascii="宋体" w:hAnsi="宋体" w:eastAsia="宋体" w:cs="宋体"/>
          <w:kern w:val="0"/>
          <w:sz w:val="24"/>
        </w:rPr>
        <w:t>年(含质保期)，质保期内乙方提供免费维修，售后服务期间内甲方支付材料费。</w:t>
      </w:r>
    </w:p>
    <w:p w14:paraId="435BE790">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10.2货物必须是原厂生产的未曾使用过的全新的合格产品，所用材料必须保证质量可靠、原材料进货渠道正规，符合国家质量性能检测标准及该产品的出厂标准。</w:t>
      </w:r>
    </w:p>
    <w:p w14:paraId="37CF5ABA">
      <w:pPr>
        <w:tabs>
          <w:tab w:val="left" w:pos="810"/>
          <w:tab w:val="left" w:pos="993"/>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10.3</w:t>
      </w:r>
      <w:r>
        <w:rPr>
          <w:rFonts w:hint="eastAsia" w:ascii="宋体" w:hAnsi="宋体" w:eastAsia="宋体" w:cs="宋体"/>
          <w:kern w:val="0"/>
          <w:sz w:val="24"/>
        </w:rPr>
        <w:tab/>
      </w:r>
      <w:r>
        <w:rPr>
          <w:rFonts w:hint="eastAsia" w:ascii="宋体" w:hAnsi="宋体" w:eastAsia="宋体" w:cs="宋体"/>
          <w:kern w:val="0"/>
          <w:sz w:val="24"/>
        </w:rPr>
        <w:t xml:space="preserve"> 质量标准按照最新颁布的国家标准、行业标准或制造商企业标准确定，上述标准不一致的，以严格标准为准。</w:t>
      </w:r>
    </w:p>
    <w:p w14:paraId="28D85C20">
      <w:pPr>
        <w:tabs>
          <w:tab w:val="left" w:pos="810"/>
        </w:tabs>
        <w:overflowPunct w:val="0"/>
        <w:adjustRightInd w:val="0"/>
        <w:snapToGrid w:val="0"/>
        <w:spacing w:line="460" w:lineRule="exact"/>
        <w:ind w:firstLine="120" w:firstLineChars="50"/>
        <w:rPr>
          <w:rFonts w:hint="eastAsia" w:ascii="宋体" w:hAnsi="宋体" w:eastAsia="宋体" w:cs="宋体"/>
          <w:kern w:val="0"/>
          <w:sz w:val="24"/>
        </w:rPr>
      </w:pPr>
      <w:r>
        <w:rPr>
          <w:rFonts w:hint="eastAsia" w:ascii="宋体" w:hAnsi="宋体" w:eastAsia="宋体" w:cs="宋体"/>
          <w:kern w:val="0"/>
          <w:sz w:val="24"/>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0F530734">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10.5 乙方所提供货物还应符合国家和陕西省有关安全、环保、节能之规定，“3C”认证的货物（产品）应加贴“3C”认证标志。</w:t>
      </w:r>
    </w:p>
    <w:p w14:paraId="7F48059E">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10.6 货物制造质量出现问题，乙方应负责三包（包修、包换、包退），费用由乙方负担。</w:t>
      </w:r>
    </w:p>
    <w:p w14:paraId="090C734A">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日起计算。  </w:t>
      </w:r>
    </w:p>
    <w:p w14:paraId="3DAF9F25">
      <w:pPr>
        <w:overflowPunct w:val="0"/>
        <w:adjustRightInd w:val="0"/>
        <w:snapToGrid w:val="0"/>
        <w:spacing w:line="460" w:lineRule="exact"/>
        <w:ind w:firstLine="482"/>
        <w:rPr>
          <w:rFonts w:hint="eastAsia" w:ascii="宋体" w:hAnsi="宋体" w:eastAsia="宋体" w:cs="宋体"/>
          <w:b/>
          <w:bCs/>
          <w:kern w:val="0"/>
          <w:sz w:val="24"/>
        </w:rPr>
      </w:pPr>
      <w:bookmarkStart w:id="20" w:name="_Toc14336"/>
      <w:bookmarkStart w:id="21" w:name="_Toc30488"/>
      <w:r>
        <w:rPr>
          <w:rFonts w:hint="eastAsia" w:ascii="宋体" w:hAnsi="宋体" w:eastAsia="宋体" w:cs="宋体"/>
          <w:b/>
          <w:bCs/>
          <w:kern w:val="0"/>
          <w:sz w:val="24"/>
        </w:rPr>
        <w:t>11.验收及验收标准</w:t>
      </w:r>
      <w:bookmarkEnd w:id="20"/>
      <w:bookmarkEnd w:id="21"/>
    </w:p>
    <w:p w14:paraId="1579304D">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653EB5FD">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11.1货物验收由甲方组织，乙方配合，并按下列程序进行：</w:t>
      </w:r>
    </w:p>
    <w:p w14:paraId="31D897B5">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11.1.1货物初验：乙方应在货物到货之日起</w:t>
      </w:r>
      <w:r>
        <w:rPr>
          <w:rFonts w:hint="eastAsia" w:ascii="宋体" w:hAnsi="宋体" w:eastAsia="宋体" w:cs="宋体"/>
          <w:kern w:val="0"/>
          <w:sz w:val="24"/>
          <w:u w:val="single"/>
        </w:rPr>
        <w:t xml:space="preserve">   </w:t>
      </w:r>
      <w:r>
        <w:rPr>
          <w:rFonts w:hint="eastAsia" w:ascii="宋体" w:hAnsi="宋体" w:eastAsia="宋体" w:cs="宋体"/>
          <w:kern w:val="0"/>
          <w:sz w:val="24"/>
        </w:rPr>
        <w:t>日内全部完成安装调试完毕；乙方安装调试完毕后</w:t>
      </w:r>
      <w:r>
        <w:rPr>
          <w:rFonts w:hint="eastAsia" w:ascii="宋体" w:hAnsi="宋体" w:eastAsia="宋体" w:cs="宋体"/>
          <w:kern w:val="0"/>
          <w:sz w:val="24"/>
          <w:u w:val="single"/>
        </w:rPr>
        <w:t xml:space="preserve">   </w:t>
      </w:r>
      <w:r>
        <w:rPr>
          <w:rFonts w:hint="eastAsia" w:ascii="宋体" w:hAnsi="宋体" w:eastAsia="宋体" w:cs="宋体"/>
          <w:kern w:val="0"/>
          <w:sz w:val="24"/>
        </w:rPr>
        <w:t>日内完成初步验收；初步验收合格后，进入</w:t>
      </w:r>
      <w:r>
        <w:rPr>
          <w:rFonts w:hint="eastAsia" w:ascii="宋体" w:hAnsi="宋体" w:eastAsia="宋体" w:cs="宋体"/>
          <w:kern w:val="0"/>
          <w:sz w:val="24"/>
          <w:u w:val="single"/>
        </w:rPr>
        <w:t xml:space="preserve">   </w:t>
      </w:r>
      <w:r>
        <w:rPr>
          <w:rFonts w:hint="eastAsia" w:ascii="宋体" w:hAnsi="宋体" w:eastAsia="宋体" w:cs="宋体"/>
          <w:kern w:val="0"/>
          <w:sz w:val="24"/>
        </w:rPr>
        <w:t>日试用期；试用期间发生重大质量问题，修复后试用期相应顺延。</w:t>
      </w:r>
    </w:p>
    <w:p w14:paraId="5D40CAB3">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11.1.2 货物终验：试用期结束后</w:t>
      </w:r>
      <w:r>
        <w:rPr>
          <w:rFonts w:hint="eastAsia" w:ascii="宋体" w:hAnsi="宋体" w:eastAsia="宋体" w:cs="宋体"/>
          <w:kern w:val="0"/>
          <w:sz w:val="24"/>
          <w:u w:val="single"/>
        </w:rPr>
        <w:t xml:space="preserve">   </w:t>
      </w:r>
      <w:r>
        <w:rPr>
          <w:rFonts w:hint="eastAsia" w:ascii="宋体" w:hAnsi="宋体" w:eastAsia="宋体" w:cs="宋体"/>
          <w:kern w:val="0"/>
          <w:sz w:val="24"/>
        </w:rPr>
        <w:t>日内完成最终验收。</w:t>
      </w:r>
    </w:p>
    <w:p w14:paraId="19AD2DF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11.1.3 质量验收合格，双方签署质量验收报告。</w:t>
      </w:r>
    </w:p>
    <w:p w14:paraId="23C916A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11.2 货物验收依据：</w:t>
      </w:r>
    </w:p>
    <w:p w14:paraId="7476C7CD">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11.2.1 采购合同及补充协议；</w:t>
      </w:r>
    </w:p>
    <w:p w14:paraId="0BDBFA1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11.2.2 质检部门抽样检查货物（产品）合格的检测报告（按甲方要求）。</w:t>
      </w:r>
    </w:p>
    <w:p w14:paraId="1115E627">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11.2.3 招标文件；</w:t>
      </w:r>
    </w:p>
    <w:p w14:paraId="102B1693">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11.2.4 投标文件。</w:t>
      </w:r>
    </w:p>
    <w:p w14:paraId="600DC5EA">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 货物验收时发现问题的处理办法：</w:t>
      </w:r>
    </w:p>
    <w:p w14:paraId="0B6E8AE9">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11.3.1 乙方提供不符合招标文件和本合同规定的货物（产品），甲方有权拒绝接受；</w:t>
      </w:r>
    </w:p>
    <w:p w14:paraId="2AD3CB83">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A33234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11.3.4 如货物经乙方</w:t>
      </w:r>
      <w:r>
        <w:rPr>
          <w:rFonts w:hint="eastAsia" w:ascii="宋体" w:hAnsi="宋体" w:eastAsia="宋体" w:cs="宋体"/>
          <w:kern w:val="0"/>
          <w:sz w:val="24"/>
          <w:u w:val="single"/>
        </w:rPr>
        <w:t xml:space="preserve">   </w:t>
      </w:r>
      <w:r>
        <w:rPr>
          <w:rFonts w:hint="eastAsia" w:ascii="宋体" w:hAnsi="宋体" w:eastAsia="宋体" w:cs="宋体"/>
          <w:kern w:val="0"/>
          <w:sz w:val="24"/>
        </w:rPr>
        <w:t>次维修仍不能达到合同约定的质量标准，甲方有权退货，并视作乙方不能交付货物而须支付违约赔偿金给甲方，甲方还可依法追究乙方的违约责任； </w:t>
      </w:r>
    </w:p>
    <w:p w14:paraId="36DD2798">
      <w:pPr>
        <w:tabs>
          <w:tab w:val="left" w:pos="426"/>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11.3.5</w:t>
      </w:r>
      <w:r>
        <w:rPr>
          <w:rFonts w:hint="eastAsia" w:ascii="宋体" w:hAnsi="宋体" w:eastAsia="宋体" w:cs="宋体"/>
          <w:kern w:val="0"/>
          <w:sz w:val="24"/>
        </w:rPr>
        <w:tab/>
      </w:r>
      <w:r>
        <w:rPr>
          <w:rFonts w:hint="eastAsia" w:ascii="宋体" w:hAnsi="宋体" w:eastAsia="宋体" w:cs="宋体"/>
          <w:kern w:val="0"/>
          <w:sz w:val="24"/>
        </w:rPr>
        <w:t>货物安装完成后</w:t>
      </w:r>
      <w:r>
        <w:rPr>
          <w:rFonts w:hint="eastAsia" w:ascii="宋体" w:hAnsi="宋体" w:eastAsia="宋体" w:cs="宋体"/>
          <w:kern w:val="0"/>
          <w:sz w:val="24"/>
          <w:u w:val="single"/>
        </w:rPr>
        <w:t xml:space="preserve">  </w:t>
      </w:r>
      <w:r>
        <w:rPr>
          <w:rFonts w:hint="eastAsia" w:ascii="宋体" w:hAnsi="宋体" w:eastAsia="宋体" w:cs="宋体"/>
          <w:kern w:val="0"/>
          <w:sz w:val="24"/>
        </w:rPr>
        <w:t>日内，甲方无故不进行验收工作并已使用货物的，视同已安装调试完成并验收合格；</w:t>
      </w:r>
    </w:p>
    <w:p w14:paraId="5D44D30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11.3.6 乙方不能完整交付货物及本条第一款规定的单证和工具的，必须负责补齐，否则视为未按合同约定交货；</w:t>
      </w:r>
    </w:p>
    <w:p w14:paraId="34608118">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11.3.7  </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75454F7B">
      <w:pPr>
        <w:overflowPunct w:val="0"/>
        <w:adjustRightInd w:val="0"/>
        <w:snapToGrid w:val="0"/>
        <w:spacing w:line="460" w:lineRule="exact"/>
        <w:ind w:firstLine="482"/>
        <w:rPr>
          <w:rFonts w:hint="eastAsia" w:ascii="宋体" w:hAnsi="宋体" w:eastAsia="宋体" w:cs="宋体"/>
          <w:b/>
          <w:bCs/>
          <w:kern w:val="0"/>
          <w:sz w:val="24"/>
        </w:rPr>
      </w:pPr>
      <w:bookmarkStart w:id="22" w:name="_Toc4718"/>
      <w:bookmarkStart w:id="23" w:name="_Toc29064"/>
      <w:r>
        <w:rPr>
          <w:rFonts w:hint="eastAsia" w:ascii="宋体" w:hAnsi="宋体" w:eastAsia="宋体" w:cs="宋体"/>
          <w:b/>
          <w:bCs/>
          <w:kern w:val="0"/>
          <w:sz w:val="24"/>
        </w:rPr>
        <w:t>12.技术培训</w:t>
      </w:r>
      <w:bookmarkEnd w:id="22"/>
      <w:bookmarkEnd w:id="23"/>
    </w:p>
    <w:p w14:paraId="7F0712BF">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乙方向甲方提供</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天的设备使用人员现场例行免费培训，培训内容包括设备的使用、一般的维修、维护及保养等；食宿自理（各自负责）；其他由甲乙双方协定。</w:t>
      </w:r>
    </w:p>
    <w:p w14:paraId="4D672D56">
      <w:pPr>
        <w:overflowPunct w:val="0"/>
        <w:adjustRightInd w:val="0"/>
        <w:snapToGrid w:val="0"/>
        <w:spacing w:line="460" w:lineRule="exact"/>
        <w:ind w:firstLine="482"/>
        <w:rPr>
          <w:rFonts w:hint="eastAsia" w:ascii="宋体" w:hAnsi="宋体" w:eastAsia="宋体" w:cs="宋体"/>
          <w:b/>
          <w:bCs/>
          <w:kern w:val="0"/>
          <w:sz w:val="24"/>
        </w:rPr>
      </w:pPr>
      <w:bookmarkStart w:id="24" w:name="_Toc11999"/>
      <w:bookmarkStart w:id="25" w:name="_Toc6139"/>
      <w:r>
        <w:rPr>
          <w:rFonts w:hint="eastAsia" w:ascii="宋体" w:hAnsi="宋体" w:eastAsia="宋体" w:cs="宋体"/>
          <w:b/>
          <w:bCs/>
          <w:kern w:val="0"/>
          <w:sz w:val="24"/>
        </w:rPr>
        <w:t>13.技术支持</w:t>
      </w:r>
      <w:bookmarkEnd w:id="24"/>
      <w:bookmarkEnd w:id="25"/>
    </w:p>
    <w:p w14:paraId="0A431124">
      <w:pPr>
        <w:overflowPunct w:val="0"/>
        <w:adjustRightInd w:val="0"/>
        <w:snapToGrid w:val="0"/>
        <w:spacing w:line="460" w:lineRule="exact"/>
        <w:rPr>
          <w:rFonts w:hint="eastAsia" w:ascii="宋体" w:hAnsi="宋体" w:eastAsia="宋体" w:cs="宋体"/>
          <w:b/>
          <w:bCs/>
          <w:kern w:val="0"/>
          <w:sz w:val="24"/>
        </w:rPr>
      </w:pPr>
      <w:r>
        <w:rPr>
          <w:rFonts w:hint="eastAsia" w:ascii="宋体" w:hAnsi="宋体" w:eastAsia="宋体" w:cs="宋体"/>
          <w:kern w:val="0"/>
          <w:sz w:val="24"/>
          <w:shd w:val="clear" w:color="auto" w:fill="FFFFFF"/>
        </w:rPr>
        <w:t xml:space="preserve">    甲方在设备使用过程中发生技术质量问题，乙方应提供及时有效的技术支持。乙方技术支持联系人：</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 xml:space="preserve"> 联系电话：</w:t>
      </w:r>
      <w:r>
        <w:rPr>
          <w:rFonts w:hint="eastAsia" w:ascii="宋体" w:hAnsi="宋体" w:eastAsia="宋体" w:cs="宋体"/>
          <w:b/>
          <w:bCs/>
          <w:kern w:val="0"/>
          <w:sz w:val="24"/>
          <w:u w:val="single"/>
        </w:rPr>
        <w:t xml:space="preserve">          </w:t>
      </w:r>
    </w:p>
    <w:p w14:paraId="49F53DD6">
      <w:pPr>
        <w:overflowPunct w:val="0"/>
        <w:adjustRightInd w:val="0"/>
        <w:snapToGrid w:val="0"/>
        <w:spacing w:line="460" w:lineRule="exact"/>
        <w:ind w:firstLine="482"/>
        <w:rPr>
          <w:rFonts w:hint="eastAsia" w:ascii="宋体" w:hAnsi="宋体" w:eastAsia="宋体" w:cs="宋体"/>
          <w:b/>
          <w:bCs/>
          <w:kern w:val="0"/>
          <w:sz w:val="24"/>
        </w:rPr>
      </w:pPr>
      <w:bookmarkStart w:id="26" w:name="_Toc1419"/>
      <w:bookmarkStart w:id="27" w:name="_Toc9936"/>
      <w:r>
        <w:rPr>
          <w:rFonts w:hint="eastAsia" w:ascii="宋体" w:hAnsi="宋体" w:eastAsia="宋体" w:cs="宋体"/>
          <w:b/>
          <w:bCs/>
          <w:kern w:val="0"/>
          <w:sz w:val="24"/>
        </w:rPr>
        <w:t>14.售后服务要求</w:t>
      </w:r>
      <w:bookmarkEnd w:id="26"/>
      <w:bookmarkEnd w:id="27"/>
    </w:p>
    <w:p w14:paraId="60521794">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485F64A1">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14.2 凡设备发生质量问题或出现其他故障，接到甲方通知后，乙方的服务响应时间不超过</w:t>
      </w:r>
      <w:r>
        <w:rPr>
          <w:rFonts w:hint="eastAsia" w:ascii="宋体" w:hAnsi="宋体" w:eastAsia="宋体" w:cs="宋体"/>
          <w:kern w:val="0"/>
          <w:sz w:val="24"/>
          <w:u w:val="single"/>
        </w:rPr>
        <w:t xml:space="preserve">  </w:t>
      </w:r>
      <w:r>
        <w:rPr>
          <w:rFonts w:hint="eastAsia" w:ascii="宋体" w:hAnsi="宋体" w:eastAsia="宋体" w:cs="宋体"/>
          <w:kern w:val="0"/>
          <w:sz w:val="24"/>
        </w:rPr>
        <w:t>小时，并且在</w:t>
      </w:r>
      <w:r>
        <w:rPr>
          <w:rFonts w:hint="eastAsia" w:ascii="宋体" w:hAnsi="宋体" w:eastAsia="宋体" w:cs="宋体"/>
          <w:kern w:val="0"/>
          <w:sz w:val="24"/>
          <w:u w:val="single"/>
        </w:rPr>
        <w:t xml:space="preserve">  </w:t>
      </w:r>
      <w:r>
        <w:rPr>
          <w:rFonts w:hint="eastAsia" w:ascii="宋体" w:hAnsi="宋体" w:eastAsia="宋体" w:cs="宋体"/>
          <w:kern w:val="0"/>
          <w:sz w:val="24"/>
        </w:rPr>
        <w:t>小时内派专业维修人员到达现场，排除故障的期限最长不得超过</w:t>
      </w:r>
      <w:r>
        <w:rPr>
          <w:rFonts w:hint="eastAsia" w:ascii="宋体" w:hAnsi="宋体" w:eastAsia="宋体" w:cs="宋体"/>
          <w:kern w:val="0"/>
          <w:sz w:val="24"/>
          <w:u w:val="single"/>
        </w:rPr>
        <w:t xml:space="preserve">   .</w:t>
      </w:r>
      <w:r>
        <w:rPr>
          <w:rFonts w:hint="eastAsia" w:ascii="宋体" w:hAnsi="宋体" w:eastAsia="宋体" w:cs="宋体"/>
          <w:kern w:val="0"/>
          <w:sz w:val="24"/>
        </w:rPr>
        <w:t>个工作日，否则甲方有权指定第三方维修，维修费用由乙方承担。</w:t>
      </w:r>
    </w:p>
    <w:p w14:paraId="0EA4427E">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14.3 免费提供每周7×24小时不间断的电话支持服务，解答用户在使用过程中遇到的问题，及时提出解决问题的建议和对策。</w:t>
      </w:r>
    </w:p>
    <w:p w14:paraId="4E97929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14.4 定期派专业维修人员到现场走访，给予检查维护。并向甲方提供巡检单（一式两份，由双方签字确认），内容包含但不限于巡检时间、巡检内容、巡检结果。</w:t>
      </w:r>
    </w:p>
    <w:p w14:paraId="27E0B61B">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14.5  款项结清前，对所供产品进行一次全面检测、保养和维护。</w:t>
      </w:r>
    </w:p>
    <w:p w14:paraId="72B6E333">
      <w:pPr>
        <w:overflowPunct w:val="0"/>
        <w:adjustRightInd w:val="0"/>
        <w:snapToGrid w:val="0"/>
        <w:spacing w:line="460" w:lineRule="exact"/>
        <w:ind w:firstLine="482"/>
        <w:rPr>
          <w:rFonts w:hint="eastAsia" w:ascii="宋体" w:hAnsi="宋体" w:eastAsia="宋体" w:cs="宋体"/>
          <w:b/>
          <w:bCs/>
          <w:kern w:val="0"/>
          <w:sz w:val="24"/>
        </w:rPr>
      </w:pPr>
      <w:bookmarkStart w:id="28" w:name="_Toc9696"/>
      <w:bookmarkStart w:id="29" w:name="_Toc29588"/>
      <w:r>
        <w:rPr>
          <w:rFonts w:hint="eastAsia" w:ascii="宋体" w:hAnsi="宋体" w:eastAsia="宋体" w:cs="宋体"/>
          <w:b/>
          <w:bCs/>
          <w:kern w:val="0"/>
          <w:sz w:val="24"/>
        </w:rPr>
        <w:t>15.违约责任</w:t>
      </w:r>
      <w:bookmarkEnd w:id="28"/>
      <w:bookmarkEnd w:id="29"/>
    </w:p>
    <w:p w14:paraId="6D3720F9">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15.1 本合同若与甲方的上级管理机关的政策性行为或其他规定发生冲突，甲方有权与乙方协商调整合同内容或终止合同执行。</w:t>
      </w:r>
    </w:p>
    <w:p w14:paraId="76F8DDA0">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445B35FD">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7A331647">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15.4 除发生不可抗力事件（不可抗力事件仅指自然灾害、战争）外，如乙方逾期交货或安装调试逾期，则每逾期一天，乙方按合同总价的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14EAAD2A">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15.5 保修期内，如乙方未按本合同约定提供保修服务，由甲方有权追究乙方违约责任，乙方应按合同总价款的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0A01D20B">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15.6 如乙方出现除上述13.2-13.5条以外的其他违约行为或违反保证与承诺义务，应按合同总价款的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02E3A2CD">
      <w:pPr>
        <w:tabs>
          <w:tab w:val="left" w:pos="1155"/>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 xml:space="preserve">15.7 </w:t>
      </w:r>
      <w:r>
        <w:rPr>
          <w:rFonts w:hint="eastAsia" w:ascii="宋体" w:hAnsi="宋体" w:eastAsia="宋体" w:cs="宋体"/>
          <w:kern w:val="0"/>
          <w:sz w:val="24"/>
          <w:shd w:val="clear" w:color="auto" w:fill="FFFFFF"/>
        </w:rPr>
        <w:tab/>
      </w:r>
      <w:r>
        <w:rPr>
          <w:rFonts w:hint="eastAsia" w:ascii="宋体" w:hAnsi="宋体" w:eastAsia="宋体" w:cs="宋体"/>
          <w:kern w:val="0"/>
          <w:sz w:val="24"/>
          <w:shd w:val="clear" w:color="auto" w:fill="FFFFFF"/>
        </w:rPr>
        <w:t>甲方无正当理由拒收设备，应按合同总价款的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向乙方支付违约金以作为对乙方的赔偿。</w:t>
      </w:r>
    </w:p>
    <w:p w14:paraId="71E94BCA">
      <w:pPr>
        <w:tabs>
          <w:tab w:val="left" w:pos="1155"/>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 xml:space="preserve">15.8 </w:t>
      </w:r>
      <w:r>
        <w:rPr>
          <w:rFonts w:hint="eastAsia" w:ascii="宋体" w:hAnsi="宋体" w:eastAsia="宋体" w:cs="宋体"/>
          <w:kern w:val="0"/>
          <w:sz w:val="24"/>
          <w:shd w:val="clear" w:color="auto" w:fill="FFFFFF"/>
        </w:rPr>
        <w:tab/>
      </w:r>
      <w:r>
        <w:rPr>
          <w:rFonts w:hint="eastAsia" w:ascii="宋体" w:hAnsi="宋体" w:eastAsia="宋体" w:cs="宋体"/>
          <w:kern w:val="0"/>
          <w:sz w:val="24"/>
          <w:shd w:val="clear" w:color="auto" w:fill="FFFFFF"/>
        </w:rPr>
        <w:tab/>
      </w:r>
      <w:r>
        <w:rPr>
          <w:rFonts w:hint="eastAsia" w:ascii="宋体" w:hAnsi="宋体" w:eastAsia="宋体" w:cs="宋体"/>
          <w:kern w:val="0"/>
          <w:sz w:val="24"/>
          <w:shd w:val="clear" w:color="auto" w:fill="FFFFFF"/>
        </w:rPr>
        <w:t>如甲方无正当理由延迟付款，则每延迟一天，甲方按应付而未付款项的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向乙方支付逾期的违约金，但逾期付款违约金最多不超过甲方应付而未付金额的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，本合同继续履行。</w:t>
      </w:r>
    </w:p>
    <w:p w14:paraId="1E0D82DE">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07623A38">
      <w:pPr>
        <w:overflowPunct w:val="0"/>
        <w:adjustRightInd w:val="0"/>
        <w:snapToGrid w:val="0"/>
        <w:spacing w:line="460" w:lineRule="exact"/>
        <w:ind w:firstLine="482"/>
        <w:rPr>
          <w:rFonts w:hint="eastAsia" w:ascii="宋体" w:hAnsi="宋体" w:eastAsia="宋体" w:cs="宋体"/>
          <w:b/>
          <w:bCs/>
          <w:kern w:val="0"/>
          <w:sz w:val="24"/>
        </w:rPr>
      </w:pPr>
      <w:bookmarkStart w:id="30" w:name="_Toc18421"/>
      <w:bookmarkStart w:id="31" w:name="_Toc14590"/>
      <w:r>
        <w:rPr>
          <w:rFonts w:hint="eastAsia" w:ascii="宋体" w:hAnsi="宋体" w:eastAsia="宋体" w:cs="宋体"/>
          <w:b/>
          <w:bCs/>
          <w:kern w:val="0"/>
          <w:sz w:val="24"/>
        </w:rPr>
        <w:t>16.保密条款</w:t>
      </w:r>
      <w:bookmarkEnd w:id="30"/>
      <w:bookmarkEnd w:id="31"/>
    </w:p>
    <w:p w14:paraId="5E603954">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2C843431">
      <w:pPr>
        <w:overflowPunct w:val="0"/>
        <w:adjustRightInd w:val="0"/>
        <w:snapToGrid w:val="0"/>
        <w:spacing w:line="460" w:lineRule="exact"/>
        <w:ind w:firstLine="482"/>
        <w:rPr>
          <w:rFonts w:hint="eastAsia" w:ascii="宋体" w:hAnsi="宋体" w:eastAsia="宋体" w:cs="宋体"/>
          <w:b/>
          <w:bCs/>
          <w:kern w:val="0"/>
          <w:sz w:val="24"/>
        </w:rPr>
      </w:pPr>
      <w:bookmarkStart w:id="32" w:name="_Toc18460"/>
      <w:bookmarkStart w:id="33" w:name="_Toc24354"/>
      <w:r>
        <w:rPr>
          <w:rFonts w:hint="eastAsia" w:ascii="宋体" w:hAnsi="宋体" w:eastAsia="宋体" w:cs="宋体"/>
          <w:b/>
          <w:bCs/>
          <w:kern w:val="0"/>
          <w:sz w:val="24"/>
        </w:rPr>
        <w:t>17.合同</w:t>
      </w:r>
      <w:bookmarkEnd w:id="32"/>
      <w:bookmarkEnd w:id="33"/>
      <w:r>
        <w:rPr>
          <w:rFonts w:hint="eastAsia" w:ascii="宋体" w:hAnsi="宋体" w:eastAsia="宋体" w:cs="宋体"/>
          <w:b/>
          <w:bCs/>
          <w:kern w:val="0"/>
          <w:sz w:val="24"/>
        </w:rPr>
        <w:t>履行</w:t>
      </w:r>
    </w:p>
    <w:p w14:paraId="66D30C1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除《中华人民共和国政府采购法》第49条、第50条第二款规定的情形外，本合同一经签订，甲乙双方不得擅自变更、中止或终止合同。</w:t>
      </w:r>
    </w:p>
    <w:p w14:paraId="4984F6AD">
      <w:pPr>
        <w:overflowPunct w:val="0"/>
        <w:adjustRightInd w:val="0"/>
        <w:snapToGrid w:val="0"/>
        <w:spacing w:line="460" w:lineRule="exact"/>
        <w:ind w:firstLine="482"/>
        <w:rPr>
          <w:rFonts w:hint="eastAsia" w:ascii="宋体" w:hAnsi="宋体" w:eastAsia="宋体" w:cs="宋体"/>
          <w:b/>
          <w:bCs/>
          <w:kern w:val="0"/>
          <w:sz w:val="24"/>
        </w:rPr>
      </w:pPr>
      <w:bookmarkStart w:id="34" w:name="_Toc2019"/>
      <w:bookmarkStart w:id="35" w:name="_Toc23231"/>
      <w:r>
        <w:rPr>
          <w:rFonts w:hint="eastAsia" w:ascii="宋体" w:hAnsi="宋体" w:eastAsia="宋体" w:cs="宋体"/>
          <w:b/>
          <w:bCs/>
          <w:kern w:val="0"/>
          <w:sz w:val="24"/>
        </w:rPr>
        <w:t>18.合同争议解决的方式</w:t>
      </w:r>
      <w:bookmarkEnd w:id="34"/>
      <w:bookmarkEnd w:id="35"/>
    </w:p>
    <w:p w14:paraId="0CF8168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18.1 因货物的质量问题发生争议，由质量技术监督部门或其指定的质量鉴定机构进行质量鉴定。货物符合标准的，鉴定费由甲方承担；货物不符合质量标准的，鉴定费由乙方承担。</w:t>
      </w:r>
    </w:p>
    <w:p w14:paraId="2484FE0E">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 因履行本合同引起的或与本合同有关的争议，甲、乙双方应首先通过友好协商解决，如果协商不成，则采取以下第</w:t>
      </w:r>
      <w:r>
        <w:rPr>
          <w:rFonts w:hint="eastAsia" w:ascii="宋体" w:hAnsi="宋体" w:eastAsia="宋体" w:cs="宋体"/>
          <w:kern w:val="0"/>
          <w:sz w:val="24"/>
          <w:u w:val="single"/>
        </w:rPr>
        <w:t xml:space="preserve">   </w:t>
      </w:r>
      <w:r>
        <w:rPr>
          <w:rFonts w:hint="eastAsia" w:ascii="宋体" w:hAnsi="宋体" w:eastAsia="宋体" w:cs="宋体"/>
          <w:kern w:val="0"/>
          <w:sz w:val="24"/>
        </w:rPr>
        <w:t>种方式解决争议：</w:t>
      </w:r>
    </w:p>
    <w:p w14:paraId="1D131DBA">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18.2.1 向甲方所在地有管辖权的人民法院提起诉讼；</w:t>
      </w:r>
    </w:p>
    <w:p w14:paraId="01683CB8">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18.2.2 向</w:t>
      </w:r>
      <w:r>
        <w:rPr>
          <w:rFonts w:hint="eastAsia" w:ascii="宋体" w:hAnsi="宋体" w:eastAsia="宋体" w:cs="宋体"/>
          <w:kern w:val="0"/>
          <w:sz w:val="24"/>
          <w:lang w:val="en-US" w:eastAsia="zh-CN"/>
        </w:rPr>
        <w:t>商洛</w:t>
      </w:r>
      <w:r>
        <w:rPr>
          <w:rFonts w:hint="eastAsia" w:ascii="宋体" w:hAnsi="宋体" w:eastAsia="宋体" w:cs="宋体"/>
          <w:kern w:val="0"/>
          <w:sz w:val="24"/>
        </w:rPr>
        <w:t>仲裁委员会按其仲裁规则申请仲裁。</w:t>
      </w:r>
    </w:p>
    <w:p w14:paraId="16EE11A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18.3 仲裁期间，本合同应继续履行。</w:t>
      </w:r>
    </w:p>
    <w:p w14:paraId="4627C6A0">
      <w:pPr>
        <w:overflowPunct w:val="0"/>
        <w:adjustRightInd w:val="0"/>
        <w:snapToGrid w:val="0"/>
        <w:spacing w:line="460" w:lineRule="exact"/>
        <w:ind w:firstLine="482"/>
        <w:rPr>
          <w:rFonts w:hint="eastAsia" w:ascii="宋体" w:hAnsi="宋体" w:eastAsia="宋体" w:cs="宋体"/>
          <w:b/>
          <w:bCs/>
          <w:kern w:val="0"/>
          <w:sz w:val="24"/>
        </w:rPr>
      </w:pPr>
      <w:bookmarkStart w:id="36" w:name="_Toc3946"/>
      <w:bookmarkStart w:id="37" w:name="_Toc23719"/>
      <w:r>
        <w:rPr>
          <w:rFonts w:hint="eastAsia" w:ascii="宋体" w:hAnsi="宋体" w:eastAsia="宋体" w:cs="宋体"/>
          <w:b/>
          <w:bCs/>
          <w:kern w:val="0"/>
          <w:sz w:val="24"/>
        </w:rPr>
        <w:t>19.合同文件</w:t>
      </w:r>
      <w:bookmarkEnd w:id="36"/>
      <w:bookmarkEnd w:id="37"/>
    </w:p>
    <w:p w14:paraId="7EFBCBBD">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C4117E">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19.1 本合同书</w:t>
      </w:r>
    </w:p>
    <w:p w14:paraId="28DFBDC1">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19.2 中标通知书</w:t>
      </w:r>
      <w:r>
        <w:rPr>
          <w:rFonts w:hint="eastAsia" w:ascii="宋体" w:hAnsi="宋体" w:eastAsia="宋体" w:cs="宋体"/>
          <w:kern w:val="0"/>
          <w:sz w:val="24"/>
        </w:rPr>
        <w:tab/>
      </w:r>
    </w:p>
    <w:p w14:paraId="2A7F6AAF">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19.3 协议</w:t>
      </w:r>
    </w:p>
    <w:p w14:paraId="752C7FAE">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19.4 招标文件(含澄清或者修改文件)</w:t>
      </w:r>
    </w:p>
    <w:p w14:paraId="472B3AAF">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19.5 投标文件</w:t>
      </w:r>
    </w:p>
    <w:p w14:paraId="60772ACE">
      <w:pPr>
        <w:overflowPunct w:val="0"/>
        <w:adjustRightInd w:val="0"/>
        <w:snapToGrid w:val="0"/>
        <w:spacing w:line="460" w:lineRule="exact"/>
        <w:ind w:firstLine="482"/>
        <w:rPr>
          <w:rFonts w:hint="eastAsia" w:ascii="宋体" w:hAnsi="宋体" w:eastAsia="宋体" w:cs="宋体"/>
          <w:b/>
          <w:bCs/>
          <w:kern w:val="0"/>
          <w:sz w:val="24"/>
        </w:rPr>
      </w:pPr>
      <w:bookmarkStart w:id="38" w:name="_Toc21719"/>
      <w:bookmarkStart w:id="39" w:name="_Toc16981"/>
      <w:r>
        <w:rPr>
          <w:rFonts w:hint="eastAsia" w:ascii="宋体" w:hAnsi="宋体" w:eastAsia="宋体" w:cs="宋体"/>
          <w:b/>
          <w:bCs/>
          <w:kern w:val="0"/>
          <w:sz w:val="24"/>
        </w:rPr>
        <w:t>20.其他事项</w:t>
      </w:r>
      <w:bookmarkEnd w:id="38"/>
      <w:bookmarkEnd w:id="39"/>
    </w:p>
    <w:p w14:paraId="56B21BDE">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20.1 陕西省财政厅在合同的履行期间以及履行期后，可以随时检查项目的执行情况，对采购标准、采购内容进行调查核实，并对发现的问题进行处理。</w:t>
      </w:r>
    </w:p>
    <w:p w14:paraId="09E3F73B">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20.2乙方应根据公开招标文件要求向采购代理机构交纳代理服务费并取得甲方的签章后，合同才正式生效。</w:t>
      </w:r>
    </w:p>
    <w:p w14:paraId="0990554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20.3 本合同一式</w:t>
      </w:r>
      <w:r>
        <w:rPr>
          <w:rFonts w:hint="eastAsia" w:ascii="宋体" w:hAnsi="宋体" w:eastAsia="宋体" w:cs="宋体"/>
          <w:kern w:val="0"/>
          <w:sz w:val="24"/>
          <w:u w:val="single"/>
        </w:rPr>
        <w:t xml:space="preserve">   </w:t>
      </w:r>
      <w:r>
        <w:rPr>
          <w:rFonts w:hint="eastAsia" w:ascii="宋体" w:hAnsi="宋体" w:eastAsia="宋体" w:cs="宋体"/>
          <w:kern w:val="0"/>
          <w:sz w:val="24"/>
        </w:rPr>
        <w:t>份，甲方</w:t>
      </w:r>
      <w:r>
        <w:rPr>
          <w:rFonts w:hint="eastAsia" w:ascii="宋体" w:hAnsi="宋体" w:eastAsia="宋体" w:cs="宋体"/>
          <w:kern w:val="0"/>
          <w:sz w:val="24"/>
          <w:u w:val="single"/>
        </w:rPr>
        <w:t xml:space="preserve">   </w:t>
      </w:r>
      <w:r>
        <w:rPr>
          <w:rFonts w:hint="eastAsia" w:ascii="宋体" w:hAnsi="宋体" w:eastAsia="宋体" w:cs="宋体"/>
          <w:kern w:val="0"/>
          <w:sz w:val="24"/>
        </w:rPr>
        <w:t>份，乙方</w:t>
      </w:r>
      <w:r>
        <w:rPr>
          <w:rFonts w:hint="eastAsia" w:ascii="宋体" w:hAnsi="宋体" w:eastAsia="宋体" w:cs="宋体"/>
          <w:kern w:val="0"/>
          <w:sz w:val="24"/>
          <w:u w:val="single"/>
        </w:rPr>
        <w:t xml:space="preserve">   </w:t>
      </w:r>
      <w:r>
        <w:rPr>
          <w:rFonts w:hint="eastAsia" w:ascii="宋体" w:hAnsi="宋体" w:eastAsia="宋体" w:cs="宋体"/>
          <w:kern w:val="0"/>
          <w:sz w:val="24"/>
        </w:rPr>
        <w:t>份，采购代理机构</w:t>
      </w:r>
      <w:r>
        <w:rPr>
          <w:rFonts w:hint="eastAsia" w:ascii="宋体" w:hAnsi="宋体" w:eastAsia="宋体" w:cs="宋体"/>
          <w:kern w:val="0"/>
          <w:sz w:val="24"/>
          <w:u w:val="single"/>
        </w:rPr>
        <w:t xml:space="preserve"> 壹 </w:t>
      </w:r>
      <w:r>
        <w:rPr>
          <w:rFonts w:hint="eastAsia" w:ascii="宋体" w:hAnsi="宋体" w:eastAsia="宋体" w:cs="宋体"/>
          <w:kern w:val="0"/>
          <w:sz w:val="24"/>
        </w:rPr>
        <w:t>份。。</w:t>
      </w:r>
    </w:p>
    <w:p w14:paraId="012412C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20.4 本合同未尽事项，补充合同内容。</w:t>
      </w:r>
    </w:p>
    <w:p w14:paraId="5FF2416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（以下无正文）</w:t>
      </w:r>
    </w:p>
    <w:p w14:paraId="6BC3DAB8">
      <w:pPr>
        <w:adjustRightInd w:val="0"/>
        <w:snapToGrid w:val="0"/>
        <w:spacing w:after="120"/>
        <w:ind w:left="420" w:leftChars="200"/>
        <w:rPr>
          <w:rFonts w:hint="eastAsia" w:ascii="宋体" w:hAnsi="宋体" w:eastAsia="宋体" w:cs="Times New Roman"/>
          <w:sz w:val="24"/>
          <w:szCs w:val="21"/>
        </w:rPr>
      </w:pPr>
    </w:p>
    <w:tbl>
      <w:tblPr>
        <w:tblStyle w:val="4"/>
        <w:tblpPr w:leftFromText="180" w:rightFromText="180" w:vertAnchor="text" w:horzAnchor="margin" w:tblpY="782"/>
        <w:tblW w:w="4829" w:type="pct"/>
        <w:tblInd w:w="0" w:type="dxa"/>
        <w:tblLayout w:type="fixed"/>
        <w:tblCellMar>
          <w:top w:w="0" w:type="dxa"/>
          <w:left w:w="108" w:type="dxa"/>
          <w:bottom w:w="0" w:type="dxa"/>
          <w:right w:w="108" w:type="dxa"/>
        </w:tblCellMar>
      </w:tblPr>
      <w:tblGrid>
        <w:gridCol w:w="4113"/>
        <w:gridCol w:w="4118"/>
      </w:tblGrid>
      <w:tr w14:paraId="497A34CE">
        <w:tblPrEx>
          <w:tblCellMar>
            <w:top w:w="0" w:type="dxa"/>
            <w:left w:w="108" w:type="dxa"/>
            <w:bottom w:w="0" w:type="dxa"/>
            <w:right w:w="108" w:type="dxa"/>
          </w:tblCellMar>
        </w:tblPrEx>
        <w:trPr>
          <w:trHeight w:val="437" w:hRule="atLeast"/>
        </w:trPr>
        <w:tc>
          <w:tcPr>
            <w:tcW w:w="2499" w:type="pct"/>
            <w:vAlign w:val="center"/>
          </w:tcPr>
          <w:p w14:paraId="53AAA307">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甲方:                  （盖章）</w:t>
            </w:r>
          </w:p>
        </w:tc>
        <w:tc>
          <w:tcPr>
            <w:tcW w:w="2501" w:type="pct"/>
            <w:vAlign w:val="center"/>
          </w:tcPr>
          <w:p w14:paraId="543D29D2">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乙方:                    （盖章）</w:t>
            </w:r>
          </w:p>
        </w:tc>
      </w:tr>
      <w:tr w14:paraId="5697611C">
        <w:tblPrEx>
          <w:tblCellMar>
            <w:top w:w="0" w:type="dxa"/>
            <w:left w:w="108" w:type="dxa"/>
            <w:bottom w:w="0" w:type="dxa"/>
            <w:right w:w="108" w:type="dxa"/>
          </w:tblCellMar>
        </w:tblPrEx>
        <w:trPr>
          <w:trHeight w:val="437" w:hRule="atLeast"/>
        </w:trPr>
        <w:tc>
          <w:tcPr>
            <w:tcW w:w="2499" w:type="pct"/>
            <w:vAlign w:val="center"/>
          </w:tcPr>
          <w:p w14:paraId="7048A2AB">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 xml:space="preserve">地址： </w:t>
            </w:r>
          </w:p>
        </w:tc>
        <w:tc>
          <w:tcPr>
            <w:tcW w:w="2501" w:type="pct"/>
            <w:vAlign w:val="center"/>
          </w:tcPr>
          <w:p w14:paraId="2D95602D">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地址：</w:t>
            </w:r>
          </w:p>
        </w:tc>
      </w:tr>
      <w:tr w14:paraId="34C79616">
        <w:tblPrEx>
          <w:tblCellMar>
            <w:top w:w="0" w:type="dxa"/>
            <w:left w:w="108" w:type="dxa"/>
            <w:bottom w:w="0" w:type="dxa"/>
            <w:right w:w="108" w:type="dxa"/>
          </w:tblCellMar>
        </w:tblPrEx>
        <w:trPr>
          <w:trHeight w:val="437" w:hRule="atLeast"/>
        </w:trPr>
        <w:tc>
          <w:tcPr>
            <w:tcW w:w="2499" w:type="pct"/>
            <w:vAlign w:val="center"/>
          </w:tcPr>
          <w:p w14:paraId="087542F2">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邮编：</w:t>
            </w:r>
          </w:p>
        </w:tc>
        <w:tc>
          <w:tcPr>
            <w:tcW w:w="2501" w:type="pct"/>
            <w:vAlign w:val="center"/>
          </w:tcPr>
          <w:p w14:paraId="1595F43D">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邮编：</w:t>
            </w:r>
          </w:p>
        </w:tc>
      </w:tr>
      <w:tr w14:paraId="2B97CD07">
        <w:tblPrEx>
          <w:tblCellMar>
            <w:top w:w="0" w:type="dxa"/>
            <w:left w:w="108" w:type="dxa"/>
            <w:bottom w:w="0" w:type="dxa"/>
            <w:right w:w="108" w:type="dxa"/>
          </w:tblCellMar>
        </w:tblPrEx>
        <w:trPr>
          <w:trHeight w:val="1095" w:hRule="atLeast"/>
        </w:trPr>
        <w:tc>
          <w:tcPr>
            <w:tcW w:w="2499" w:type="pct"/>
          </w:tcPr>
          <w:p w14:paraId="67D5A03C">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法定代表人（签字或盖章）：</w:t>
            </w:r>
          </w:p>
          <w:p w14:paraId="0970FA43">
            <w:pPr>
              <w:overflowPunct w:val="0"/>
              <w:adjustRightInd w:val="0"/>
              <w:snapToGrid w:val="0"/>
              <w:rPr>
                <w:rFonts w:hint="eastAsia" w:ascii="宋体" w:hAnsi="宋体" w:eastAsia="宋体" w:cs="宋体"/>
                <w:kern w:val="0"/>
                <w:sz w:val="24"/>
              </w:rPr>
            </w:pPr>
          </w:p>
        </w:tc>
        <w:tc>
          <w:tcPr>
            <w:tcW w:w="2501" w:type="pct"/>
          </w:tcPr>
          <w:p w14:paraId="4E3D955C">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A9210C9">
        <w:tblPrEx>
          <w:tblCellMar>
            <w:top w:w="0" w:type="dxa"/>
            <w:left w:w="108" w:type="dxa"/>
            <w:bottom w:w="0" w:type="dxa"/>
            <w:right w:w="108" w:type="dxa"/>
          </w:tblCellMar>
        </w:tblPrEx>
        <w:trPr>
          <w:trHeight w:val="657" w:hRule="atLeast"/>
        </w:trPr>
        <w:tc>
          <w:tcPr>
            <w:tcW w:w="2499" w:type="pct"/>
          </w:tcPr>
          <w:p w14:paraId="79A160E1">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被授权代表：（签字）</w:t>
            </w:r>
          </w:p>
        </w:tc>
        <w:tc>
          <w:tcPr>
            <w:tcW w:w="2501" w:type="pct"/>
          </w:tcPr>
          <w:p w14:paraId="3F0E81B0">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被授权代表：（签字）</w:t>
            </w:r>
          </w:p>
        </w:tc>
      </w:tr>
      <w:tr w14:paraId="5EFF1544">
        <w:tblPrEx>
          <w:tblCellMar>
            <w:top w:w="0" w:type="dxa"/>
            <w:left w:w="108" w:type="dxa"/>
            <w:bottom w:w="0" w:type="dxa"/>
            <w:right w:w="108" w:type="dxa"/>
          </w:tblCellMar>
        </w:tblPrEx>
        <w:trPr>
          <w:trHeight w:val="437" w:hRule="atLeast"/>
        </w:trPr>
        <w:tc>
          <w:tcPr>
            <w:tcW w:w="2499" w:type="pct"/>
            <w:vAlign w:val="center"/>
          </w:tcPr>
          <w:p w14:paraId="409AAC50">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电话：</w:t>
            </w:r>
          </w:p>
        </w:tc>
        <w:tc>
          <w:tcPr>
            <w:tcW w:w="2501" w:type="pct"/>
            <w:vAlign w:val="center"/>
          </w:tcPr>
          <w:p w14:paraId="08D142DF">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电话：</w:t>
            </w:r>
          </w:p>
        </w:tc>
      </w:tr>
      <w:tr w14:paraId="797FE578">
        <w:tblPrEx>
          <w:tblCellMar>
            <w:top w:w="0" w:type="dxa"/>
            <w:left w:w="108" w:type="dxa"/>
            <w:bottom w:w="0" w:type="dxa"/>
            <w:right w:w="108" w:type="dxa"/>
          </w:tblCellMar>
        </w:tblPrEx>
        <w:trPr>
          <w:trHeight w:val="437" w:hRule="atLeast"/>
        </w:trPr>
        <w:tc>
          <w:tcPr>
            <w:tcW w:w="2499" w:type="pct"/>
            <w:vAlign w:val="center"/>
          </w:tcPr>
          <w:p w14:paraId="7ADFAAA4">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传真：</w:t>
            </w:r>
          </w:p>
        </w:tc>
        <w:tc>
          <w:tcPr>
            <w:tcW w:w="2501" w:type="pct"/>
            <w:vAlign w:val="center"/>
          </w:tcPr>
          <w:p w14:paraId="71A246B8">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传真：</w:t>
            </w:r>
          </w:p>
        </w:tc>
      </w:tr>
      <w:tr w14:paraId="53F89FFA">
        <w:tblPrEx>
          <w:tblCellMar>
            <w:top w:w="0" w:type="dxa"/>
            <w:left w:w="108" w:type="dxa"/>
            <w:bottom w:w="0" w:type="dxa"/>
            <w:right w:w="108" w:type="dxa"/>
          </w:tblCellMar>
        </w:tblPrEx>
        <w:trPr>
          <w:trHeight w:val="437" w:hRule="atLeast"/>
        </w:trPr>
        <w:tc>
          <w:tcPr>
            <w:tcW w:w="2499" w:type="pct"/>
            <w:vAlign w:val="center"/>
          </w:tcPr>
          <w:p w14:paraId="3A932AB3">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开户银行：</w:t>
            </w:r>
          </w:p>
        </w:tc>
        <w:tc>
          <w:tcPr>
            <w:tcW w:w="2501" w:type="pct"/>
            <w:vAlign w:val="center"/>
          </w:tcPr>
          <w:p w14:paraId="3AD9E37A">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开户银行：</w:t>
            </w:r>
          </w:p>
        </w:tc>
      </w:tr>
      <w:tr w14:paraId="069BC3DB">
        <w:tblPrEx>
          <w:tblCellMar>
            <w:top w:w="0" w:type="dxa"/>
            <w:left w:w="108" w:type="dxa"/>
            <w:bottom w:w="0" w:type="dxa"/>
            <w:right w:w="108" w:type="dxa"/>
          </w:tblCellMar>
        </w:tblPrEx>
        <w:trPr>
          <w:trHeight w:val="437" w:hRule="atLeast"/>
        </w:trPr>
        <w:tc>
          <w:tcPr>
            <w:tcW w:w="2499" w:type="pct"/>
            <w:vAlign w:val="center"/>
          </w:tcPr>
          <w:p w14:paraId="041E1FCD">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账号:</w:t>
            </w:r>
          </w:p>
        </w:tc>
        <w:tc>
          <w:tcPr>
            <w:tcW w:w="2501" w:type="pct"/>
            <w:vAlign w:val="center"/>
          </w:tcPr>
          <w:p w14:paraId="12B6B71E">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账号:</w:t>
            </w:r>
          </w:p>
        </w:tc>
      </w:tr>
      <w:tr w14:paraId="5A389B4E">
        <w:tblPrEx>
          <w:tblCellMar>
            <w:top w:w="0" w:type="dxa"/>
            <w:left w:w="108" w:type="dxa"/>
            <w:bottom w:w="0" w:type="dxa"/>
            <w:right w:w="108" w:type="dxa"/>
          </w:tblCellMar>
        </w:tblPrEx>
        <w:trPr>
          <w:trHeight w:val="437" w:hRule="atLeast"/>
        </w:trPr>
        <w:tc>
          <w:tcPr>
            <w:tcW w:w="2499" w:type="pct"/>
            <w:vAlign w:val="center"/>
          </w:tcPr>
          <w:p w14:paraId="20B566C0">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日期：       年   月   日</w:t>
            </w:r>
          </w:p>
        </w:tc>
        <w:tc>
          <w:tcPr>
            <w:tcW w:w="2501" w:type="pct"/>
            <w:vAlign w:val="center"/>
          </w:tcPr>
          <w:p w14:paraId="6A33A472">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日期：      年   月   日</w:t>
            </w:r>
          </w:p>
        </w:tc>
      </w:tr>
    </w:tbl>
    <w:p w14:paraId="48AADCC5">
      <w:pPr>
        <w:widowControl/>
        <w:spacing w:line="360" w:lineRule="auto"/>
        <w:ind w:firstLine="420"/>
        <w:jc w:val="left"/>
        <w:rPr>
          <w:rFonts w:hint="eastAsia" w:ascii="宋体" w:hAnsi="宋体" w:eastAsia="宋体" w:cs="Times New Roman"/>
          <w:sz w:val="24"/>
        </w:rPr>
      </w:pPr>
    </w:p>
    <w:bookmarkEnd w:id="0"/>
    <w:bookmarkEnd w:id="1"/>
    <w:p w14:paraId="5DE45ECF">
      <w:pPr>
        <w:spacing w:line="500" w:lineRule="exact"/>
        <w:ind w:firstLine="420" w:firstLineChars="200"/>
      </w:pPr>
    </w:p>
    <w:p w14:paraId="1D1624F6">
      <w:pPr>
        <w:pStyle w:val="8"/>
        <w:rPr>
          <w:rFonts w:hint="default"/>
        </w:rPr>
      </w:pPr>
    </w:p>
    <w:p w14:paraId="2336B4AF">
      <w:pPr>
        <w:adjustRightInd w:val="0"/>
        <w:snapToGrid w:val="0"/>
        <w:spacing w:line="460" w:lineRule="exact"/>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29"/>
    <w:rsid w:val="000002DB"/>
    <w:rsid w:val="00004C40"/>
    <w:rsid w:val="00024047"/>
    <w:rsid w:val="00047E5B"/>
    <w:rsid w:val="000A059B"/>
    <w:rsid w:val="00132F20"/>
    <w:rsid w:val="001964EF"/>
    <w:rsid w:val="001A2CB2"/>
    <w:rsid w:val="001D6FF9"/>
    <w:rsid w:val="00226635"/>
    <w:rsid w:val="00236D95"/>
    <w:rsid w:val="00270D18"/>
    <w:rsid w:val="002D7E3E"/>
    <w:rsid w:val="002E1F82"/>
    <w:rsid w:val="00340DB5"/>
    <w:rsid w:val="00353417"/>
    <w:rsid w:val="003564A6"/>
    <w:rsid w:val="00383297"/>
    <w:rsid w:val="00417E19"/>
    <w:rsid w:val="00465AED"/>
    <w:rsid w:val="00515B70"/>
    <w:rsid w:val="0054048F"/>
    <w:rsid w:val="005877C2"/>
    <w:rsid w:val="005C3975"/>
    <w:rsid w:val="00604835"/>
    <w:rsid w:val="006B11E3"/>
    <w:rsid w:val="006B3747"/>
    <w:rsid w:val="006B766F"/>
    <w:rsid w:val="006D55EF"/>
    <w:rsid w:val="007A2AA9"/>
    <w:rsid w:val="00845E01"/>
    <w:rsid w:val="008519DD"/>
    <w:rsid w:val="00863958"/>
    <w:rsid w:val="008A576A"/>
    <w:rsid w:val="00917E3A"/>
    <w:rsid w:val="00923568"/>
    <w:rsid w:val="009437B1"/>
    <w:rsid w:val="0098750C"/>
    <w:rsid w:val="00996E34"/>
    <w:rsid w:val="00A77008"/>
    <w:rsid w:val="00B04A1A"/>
    <w:rsid w:val="00B16710"/>
    <w:rsid w:val="00B52EFD"/>
    <w:rsid w:val="00B91137"/>
    <w:rsid w:val="00BE1429"/>
    <w:rsid w:val="00C57F89"/>
    <w:rsid w:val="00C64027"/>
    <w:rsid w:val="00C66DE0"/>
    <w:rsid w:val="00C86C78"/>
    <w:rsid w:val="00D07C0E"/>
    <w:rsid w:val="00D242D1"/>
    <w:rsid w:val="00DE71D4"/>
    <w:rsid w:val="00E51ED7"/>
    <w:rsid w:val="00E55784"/>
    <w:rsid w:val="00ED699A"/>
    <w:rsid w:val="00ED70E0"/>
    <w:rsid w:val="00F32569"/>
    <w:rsid w:val="00F75CAA"/>
    <w:rsid w:val="00FA638E"/>
    <w:rsid w:val="01C1455F"/>
    <w:rsid w:val="371B736D"/>
    <w:rsid w:val="7B042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4952</Words>
  <Characters>5269</Characters>
  <Lines>167</Lines>
  <Paragraphs>161</Paragraphs>
  <TotalTime>33</TotalTime>
  <ScaleCrop>false</ScaleCrop>
  <LinksUpToDate>false</LinksUpToDate>
  <CharactersWithSpaces>5808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2024-05-08T03:03:00Z</dcterms:created>
  <dc:creator>SQ W</dc:creator>
  <cp:lastModifiedBy>WPS_1750671970</cp:lastModifiedBy>
  <dcterms:modified xsi:type="dcterms:W3CDTF">2025-09-17T06:24:53Z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eyJoZGlkIjoiNDFiZGM4Njk2MTdkNTU1NGNhNDJjZjliNTMwYzJmY2YiLCJ1c2VySWQiOiIxNzExNjM2MTk4In0=</vt:lpwstr>
  </property>
  <property fmtid="{D5CDD505-2E9C-101B-9397-08002B2CF9AE}" pid="3" name="KSOProductBuildVer">
    <vt:lpwstr>2052-12.1.0.21915</vt:lpwstr>
  </property>
  <property fmtid="{D5CDD505-2E9C-101B-9397-08002B2CF9AE}" pid="4" name="ICV">
    <vt:lpwstr>0EDAFD69347E471CB781FC13DAEC67D0_12</vt:lpwstr>
  </property>
</Properties>
</file>