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版本号：ZCSP-商洛市-2025-0025820250919002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商洛市“十五五”开放型经济高质量发展规划和2个一般专项规划（商洛市“十五五”商贸流通发展和电子商务发展规划）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ZCSP-商洛市-2025-00258</w:t>
      </w:r>
      <w:r>
        <w:br/>
      </w:r>
      <w:r>
        <w:br/>
      </w:r>
      <w:r>
        <w:br/>
      </w:r>
    </w:p>
    <w:p>
      <w:pPr>
        <w:pStyle w:val="null3"/>
        <w:jc w:val="center"/>
        <w:outlineLvl w:val="2"/>
      </w:pPr>
      <w:r>
        <w:rPr>
          <w:rFonts w:ascii="仿宋_GB2312" w:hAnsi="仿宋_GB2312" w:cs="仿宋_GB2312" w:eastAsia="仿宋_GB2312"/>
          <w:sz w:val="28"/>
          <w:b/>
        </w:rPr>
        <w:t>商洛市商务局</w:t>
      </w:r>
    </w:p>
    <w:p>
      <w:pPr>
        <w:pStyle w:val="null3"/>
        <w:jc w:val="center"/>
        <w:outlineLvl w:val="2"/>
      </w:pPr>
      <w:r>
        <w:rPr>
          <w:rFonts w:ascii="仿宋_GB2312" w:hAnsi="仿宋_GB2312" w:cs="仿宋_GB2312" w:eastAsia="仿宋_GB2312"/>
          <w:sz w:val="28"/>
          <w:b/>
        </w:rPr>
        <w:t>商洛市高德中小企业服务有限责任公司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商洛市高德中小企业服务有限责任公司</w:t>
      </w:r>
      <w:r>
        <w:rPr>
          <w:rFonts w:ascii="仿宋_GB2312" w:hAnsi="仿宋_GB2312" w:cs="仿宋_GB2312" w:eastAsia="仿宋_GB2312"/>
        </w:rPr>
        <w:t>（以下简称“代理机构”）受</w:t>
      </w:r>
      <w:r>
        <w:rPr>
          <w:rFonts w:ascii="仿宋_GB2312" w:hAnsi="仿宋_GB2312" w:cs="仿宋_GB2312" w:eastAsia="仿宋_GB2312"/>
        </w:rPr>
        <w:t>商洛市商务局</w:t>
      </w:r>
      <w:r>
        <w:rPr>
          <w:rFonts w:ascii="仿宋_GB2312" w:hAnsi="仿宋_GB2312" w:cs="仿宋_GB2312" w:eastAsia="仿宋_GB2312"/>
        </w:rPr>
        <w:t>委托，拟对</w:t>
      </w:r>
      <w:r>
        <w:rPr>
          <w:rFonts w:ascii="仿宋_GB2312" w:hAnsi="仿宋_GB2312" w:cs="仿宋_GB2312" w:eastAsia="仿宋_GB2312"/>
        </w:rPr>
        <w:t>商洛市“十五五”开放型经济高质量发展规划和2个一般专项规划（商洛市“十五五”商贸流通发展和电子商务发展规划）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ZCSP-商洛市-2025-00258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商洛市“十五五”开放型经济高质量发展规划和2个一般专项规划（商洛市“十五五”商贸流通发展和电子商务发展规划）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商洛市“十五五”开放型经济高质量发展规划和2个一般专项规划（商洛市“十五五”商贸流通发展和电子商务发展规划）的潜在供应商应在陕西省政府采购综合管理平台项目电子化交易系统（以下简称“项目电子化交易系统”）获取采购文件，并于2025年09月30日 15时00分（北京时间）前提交响应文件。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法有效的统一社会信用代码营业执照：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法定代表人证明书及授权书：法定代表人直接投标须提交法定代表人证明书，法定代表人授权代表参加投标的，须出具法定代表人证明书及授权书，供应商需在项目电子化交易系统中按要求上传相应证明文件并进行电子签章</w:t>
      </w:r>
    </w:p>
    <w:p>
      <w:pPr>
        <w:pStyle w:val="null3"/>
      </w:pPr>
      <w:r>
        <w:rPr>
          <w:rFonts w:ascii="仿宋_GB2312" w:hAnsi="仿宋_GB2312" w:cs="仿宋_GB2312" w:eastAsia="仿宋_GB2312"/>
        </w:rPr>
        <w:t>3、财务状况报告：提供2024年度的财务审计报告（至少包括资产负债表和利润表，成立时间至提交响应文件截止时间不足一年的可提供成立后任意时段的财务报表），或开标时间前六个月内基本存款账户开户银行出具的资信证明，供应商需在项目电子化交易系统中按要求上传相应证明文件并进行电子签章</w:t>
      </w:r>
    </w:p>
    <w:p>
      <w:pPr>
        <w:pStyle w:val="null3"/>
      </w:pPr>
      <w:r>
        <w:rPr>
          <w:rFonts w:ascii="仿宋_GB2312" w:hAnsi="仿宋_GB2312" w:cs="仿宋_GB2312" w:eastAsia="仿宋_GB2312"/>
        </w:rPr>
        <w:t>4、税收缴纳证明：提供投标截止日前近一年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提供投标截止日前近一年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参加政府采购活动前3年内在经营活动中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供应商未被列入“中国执行信息公开网”（http://zxgk.court.gov.cn/shixin/）失信被执行人名单，未被列入“信用中国”网站（www.creditchina.gov.cn）重大税收违法失信主体，未被列入“中国政府采购网”（www.ccgp.gov.cn）政府采购严重违法失信行为记录名单：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pPr>
        <w:pStyle w:val="null3"/>
      </w:pPr>
      <w:r>
        <w:rPr>
          <w:rFonts w:ascii="仿宋_GB2312" w:hAnsi="仿宋_GB2312" w:cs="仿宋_GB2312" w:eastAsia="仿宋_GB2312"/>
        </w:rPr>
        <w:t>8、业绩：供应商应提供近三年（2022年1月1日至今，以签订合同日期为准）内至少1项规划类项目业绩，并能提供业绩证明材料，业绩合同至少包含合同首页、签订时间、签字盖章页、反映业绩要求的关键页，否则视为无效业绩。</w:t>
      </w:r>
    </w:p>
    <w:p>
      <w:pPr>
        <w:pStyle w:val="null3"/>
      </w:pPr>
      <w:r>
        <w:rPr>
          <w:rFonts w:ascii="仿宋_GB2312" w:hAnsi="仿宋_GB2312" w:cs="仿宋_GB2312" w:eastAsia="仿宋_GB2312"/>
        </w:rPr>
        <w:t>9、具有履行合同所必需的设备和专业技术能力的承诺函：供应商须提供具有履行合同所必需的设备和专业技术能力的承诺函，供应商需在项目电子化交易系统中按要求上传相应证明文件并进行电子签章；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10、单位负责人为同一人或者存在直接控股、管理关系的不同投标人，不得同时参加本项目同一合同项下的政府采购活动。：单位负责人为同一人或者存在直接控股、管理关系的不同投标人，不得同时参加本项目同一合同项下的政府采购活动。</w:t>
      </w:r>
    </w:p>
    <w:p>
      <w:pPr>
        <w:pStyle w:val="null3"/>
      </w:pPr>
      <w:r>
        <w:rPr>
          <w:rFonts w:ascii="仿宋_GB2312" w:hAnsi="仿宋_GB2312" w:cs="仿宋_GB2312" w:eastAsia="仿宋_GB2312"/>
        </w:rPr>
        <w:t>11、联合体投标：本项目（合同包）不接受联合体投标。提交非 联合体形式参加本项目投标的声明函。供应商 需在项目电子化交易系统中按要求上传相应证 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商洛市商务局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商洛市商州区民主路1号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商洛市商务局经办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18909140190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商洛市高德中小企业服务有限责任公司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商洛市商州区陈塬街道丹江西路商郡城金擀杖隔壁三楼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15877456091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有关规定按中标价的1.5%计取招标代理服务费。 2、支付方式：中标单位在领取成交通知书前，须向采购代理机构一次性支付代理服务费。 缴纳方式：银行转账</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商洛市商务局</w:t>
      </w:r>
      <w:r>
        <w:rPr>
          <w:rFonts w:ascii="仿宋_GB2312" w:hAnsi="仿宋_GB2312" w:cs="仿宋_GB2312" w:eastAsia="仿宋_GB2312"/>
        </w:rPr>
        <w:t>和</w:t>
      </w:r>
      <w:r>
        <w:rPr>
          <w:rFonts w:ascii="仿宋_GB2312" w:hAnsi="仿宋_GB2312" w:cs="仿宋_GB2312" w:eastAsia="仿宋_GB2312"/>
        </w:rPr>
        <w:t>商洛市高德中小企业服务有限责任公司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商洛市商务局</w:t>
      </w:r>
      <w:r>
        <w:rPr>
          <w:rFonts w:ascii="仿宋_GB2312" w:hAnsi="仿宋_GB2312" w:cs="仿宋_GB2312" w:eastAsia="仿宋_GB2312"/>
        </w:rPr>
        <w:t>负责解释。除上述磋商文件内容，其他内容由</w:t>
      </w:r>
      <w:r>
        <w:rPr>
          <w:rFonts w:ascii="仿宋_GB2312" w:hAnsi="仿宋_GB2312" w:cs="仿宋_GB2312" w:eastAsia="仿宋_GB2312"/>
        </w:rPr>
        <w:t>商洛市高德中小企业服务有限责任公司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商洛市商务局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商洛市高德中小企业服务有限责任公司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按照总体服务方案确保工作进度及工作质量，足量配备符合要求的专业技术力量或团队投入本项目，确保提交设计成果准时、准确，符合国家或行业相关规定及要求。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商洛市高德中小企业服务有限责任公司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商洛市高德中小企业服务有限责任公司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商洛市高德中小企业服务有限责任公司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联系电话：15877456091</w:t>
      </w:r>
    </w:p>
    <w:p>
      <w:pPr>
        <w:pStyle w:val="null3"/>
      </w:pPr>
      <w:r>
        <w:rPr>
          <w:rFonts w:ascii="仿宋_GB2312" w:hAnsi="仿宋_GB2312" w:cs="仿宋_GB2312" w:eastAsia="仿宋_GB2312"/>
        </w:rPr>
        <w:t>地址：陈塬街道丹江西路商郡城金擀杖隔壁三楼</w:t>
      </w:r>
    </w:p>
    <w:p>
      <w:pPr>
        <w:pStyle w:val="null3"/>
      </w:pPr>
      <w:r>
        <w:rPr>
          <w:rFonts w:ascii="仿宋_GB2312" w:hAnsi="仿宋_GB2312" w:cs="仿宋_GB2312" w:eastAsia="仿宋_GB2312"/>
        </w:rPr>
        <w:t>邮编：720001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“十五五”（2026-2030 年）时期，是我国基本实现社会主义现代化承上启下、加快转入高质量发展轨道的关键期，也是我市加快打造“一都四区”、推进富民强市的攻坚期。以新时代中国特色社会主义思想为指导，科学编制好全市国民经济和社会发展第十五个五年规划具有十分重要的意义。为全面做好商洛市“十五五”规划编制工作，按照全省“十五五”规划编制工作总体方案要求，结合我市实际作出的总体安排： （一）市级发展规划 《商洛市国民经济和社会发展第十五个五年规划纲要》（以下简称《纲要》），是全市发展战略在规划期内的阶段性部署和安排，是编制空间规划、专项规划、区域规划以及制定有关政策和年度计划的重要依据。 （二）专项规划 专项规划是指以国民经济和社会发展特定领域为对象编制的规划，是指导该领域发展改革以及审批、核准、备案重大项目和安排政府投资、引导社会资本投向的重要依据。 （三）县区发展规划 县区发展规划是指县区级国民经济和社会发展第十五个五年规划纲要。县区“十五五”规划纲要的编制，要符合全市《纲要》的总体要求，从全局出发，因地制宜、发挥优势，突出重点、体现特色，合理确定本县区发展目标和任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商洛市“十五五”开放型经济高质量发展规划和2个一般专项规划（商洛市“十五五”商贸流通发展和电子商务发展规划）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标的名称：商洛市“十五五”开放型经济高质量发展规划和2个一般专项规划（商洛市“十五五”商贸流通发展和电子商务发展规划）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技术要求</w:t>
            </w:r>
          </w:p>
          <w:p>
            <w:pPr>
              <w:pStyle w:val="null3"/>
              <w:ind w:firstLine="422"/>
              <w:jc w:val="both"/>
            </w:pPr>
            <w:r>
              <w:rPr>
                <w:rFonts w:ascii="仿宋_GB2312" w:hAnsi="仿宋_GB2312" w:cs="仿宋_GB2312" w:eastAsia="仿宋_GB2312"/>
                <w:sz w:val="21"/>
                <w:b/>
              </w:rPr>
              <w:t>1.1</w:t>
            </w:r>
            <w:r>
              <w:rPr>
                <w:rFonts w:ascii="仿宋_GB2312" w:hAnsi="仿宋_GB2312" w:cs="仿宋_GB2312" w:eastAsia="仿宋_GB2312"/>
                <w:sz w:val="21"/>
                <w:b/>
              </w:rPr>
              <w:t>技术要求</w:t>
            </w:r>
          </w:p>
          <w:p>
            <w:pPr>
              <w:pStyle w:val="null3"/>
              <w:jc w:val="both"/>
            </w:pPr>
            <w:r>
              <w:rPr>
                <w:rFonts w:ascii="仿宋_GB2312" w:hAnsi="仿宋_GB2312" w:cs="仿宋_GB2312" w:eastAsia="仿宋_GB2312"/>
                <w:sz w:val="21"/>
              </w:rPr>
              <w:t>以新时代中国特色社会主义思想为指导，科学编制商洛市</w:t>
            </w:r>
            <w:r>
              <w:rPr>
                <w:rFonts w:ascii="仿宋_GB2312" w:hAnsi="仿宋_GB2312" w:cs="仿宋_GB2312" w:eastAsia="仿宋_GB2312"/>
                <w:sz w:val="21"/>
              </w:rPr>
              <w:t>“十五五”开放型经济高质量发展规划和</w:t>
            </w:r>
            <w:r>
              <w:rPr>
                <w:rFonts w:ascii="仿宋_GB2312" w:hAnsi="仿宋_GB2312" w:cs="仿宋_GB2312" w:eastAsia="仿宋_GB2312"/>
                <w:sz w:val="21"/>
              </w:rPr>
              <w:t>2</w:t>
            </w:r>
            <w:r>
              <w:rPr>
                <w:rFonts w:ascii="仿宋_GB2312" w:hAnsi="仿宋_GB2312" w:cs="仿宋_GB2312" w:eastAsia="仿宋_GB2312"/>
                <w:sz w:val="21"/>
              </w:rPr>
              <w:t>个一般专项规划，按照全省“十五五”规划编制工作总体方案（陕政发</w:t>
            </w:r>
            <w:r>
              <w:rPr>
                <w:rFonts w:ascii="仿宋_GB2312" w:hAnsi="仿宋_GB2312" w:cs="仿宋_GB2312" w:eastAsia="仿宋_GB2312"/>
                <w:sz w:val="21"/>
              </w:rPr>
              <w:t>﹝</w:t>
            </w:r>
            <w:r>
              <w:rPr>
                <w:rFonts w:ascii="仿宋_GB2312" w:hAnsi="仿宋_GB2312" w:cs="仿宋_GB2312" w:eastAsia="仿宋_GB2312"/>
                <w:sz w:val="21"/>
              </w:rPr>
              <w:t>2025〕3号）要求，坚持五个编制原则，</w:t>
            </w:r>
            <w:r>
              <w:rPr>
                <w:rFonts w:ascii="仿宋_GB2312" w:hAnsi="仿宋_GB2312" w:cs="仿宋_GB2312" w:eastAsia="仿宋_GB2312"/>
                <w:sz w:val="21"/>
              </w:rPr>
              <w:t>结合商洛市实际，编制工作方案。</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2"/>
              <w:jc w:val="both"/>
            </w:pPr>
            <w:r>
              <w:rPr>
                <w:rFonts w:ascii="仿宋_GB2312" w:hAnsi="仿宋_GB2312" w:cs="仿宋_GB2312" w:eastAsia="仿宋_GB2312"/>
                <w:sz w:val="21"/>
                <w:b/>
              </w:rPr>
              <w:t>1.2</w:t>
            </w:r>
            <w:r>
              <w:rPr>
                <w:rFonts w:ascii="仿宋_GB2312" w:hAnsi="仿宋_GB2312" w:cs="仿宋_GB2312" w:eastAsia="仿宋_GB2312"/>
                <w:sz w:val="21"/>
                <w:b/>
              </w:rPr>
              <w:t>设计参照依据</w:t>
            </w:r>
          </w:p>
          <w:p>
            <w:pPr>
              <w:pStyle w:val="null3"/>
              <w:jc w:val="both"/>
            </w:pPr>
            <w:r>
              <w:rPr>
                <w:rFonts w:ascii="仿宋_GB2312" w:hAnsi="仿宋_GB2312" w:cs="仿宋_GB2312" w:eastAsia="仿宋_GB2312"/>
                <w:sz w:val="21"/>
              </w:rPr>
              <w:t>全省</w:t>
            </w:r>
            <w:r>
              <w:rPr>
                <w:rFonts w:ascii="仿宋_GB2312" w:hAnsi="仿宋_GB2312" w:cs="仿宋_GB2312" w:eastAsia="仿宋_GB2312"/>
                <w:sz w:val="21"/>
              </w:rPr>
              <w:t>“十五五”规划编制工作总体方案（陕政发〔</w:t>
            </w:r>
            <w:r>
              <w:rPr>
                <w:rFonts w:ascii="仿宋_GB2312" w:hAnsi="仿宋_GB2312" w:cs="仿宋_GB2312" w:eastAsia="仿宋_GB2312"/>
                <w:sz w:val="21"/>
              </w:rPr>
              <w:t>2025</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号）要求。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22"/>
              <w:jc w:val="both"/>
            </w:pPr>
            <w:r>
              <w:rPr>
                <w:rFonts w:ascii="仿宋_GB2312" w:hAnsi="仿宋_GB2312" w:cs="仿宋_GB2312" w:eastAsia="仿宋_GB2312"/>
                <w:sz w:val="21"/>
                <w:b/>
              </w:rPr>
              <w:t>1.3</w:t>
            </w:r>
            <w:r>
              <w:rPr>
                <w:rFonts w:ascii="仿宋_GB2312" w:hAnsi="仿宋_GB2312" w:cs="仿宋_GB2312" w:eastAsia="仿宋_GB2312"/>
                <w:sz w:val="21"/>
                <w:b/>
              </w:rPr>
              <w:t>编制要求</w:t>
            </w:r>
          </w:p>
          <w:p>
            <w:pPr>
              <w:pStyle w:val="null3"/>
              <w:ind w:firstLine="420"/>
              <w:jc w:val="both"/>
            </w:pPr>
            <w:r>
              <w:rPr>
                <w:rFonts w:ascii="仿宋_GB2312" w:hAnsi="仿宋_GB2312" w:cs="仿宋_GB2312" w:eastAsia="仿宋_GB2312"/>
                <w:sz w:val="21"/>
              </w:rPr>
              <w:t>1.3.1</w:t>
            </w:r>
            <w:r>
              <w:rPr>
                <w:rFonts w:ascii="仿宋_GB2312" w:hAnsi="仿宋_GB2312" w:cs="仿宋_GB2312" w:eastAsia="仿宋_GB2312"/>
                <w:sz w:val="21"/>
              </w:rPr>
              <w:t>坚持前瞻思考，全局谋划；</w:t>
            </w:r>
          </w:p>
          <w:p>
            <w:pPr>
              <w:pStyle w:val="null3"/>
              <w:ind w:firstLine="420"/>
              <w:jc w:val="both"/>
            </w:pPr>
            <w:r>
              <w:rPr>
                <w:rFonts w:ascii="仿宋_GB2312" w:hAnsi="仿宋_GB2312" w:cs="仿宋_GB2312" w:eastAsia="仿宋_GB2312"/>
                <w:sz w:val="21"/>
              </w:rPr>
              <w:t>1.3.2</w:t>
            </w:r>
            <w:r>
              <w:rPr>
                <w:rFonts w:ascii="仿宋_GB2312" w:hAnsi="仿宋_GB2312" w:cs="仿宋_GB2312" w:eastAsia="仿宋_GB2312"/>
                <w:sz w:val="21"/>
              </w:rPr>
              <w:t>坚持导向目标，问题导向；</w:t>
            </w:r>
          </w:p>
          <w:p>
            <w:pPr>
              <w:pStyle w:val="null3"/>
              <w:ind w:firstLine="420"/>
              <w:jc w:val="both"/>
            </w:pPr>
            <w:r>
              <w:rPr>
                <w:rFonts w:ascii="仿宋_GB2312" w:hAnsi="仿宋_GB2312" w:cs="仿宋_GB2312" w:eastAsia="仿宋_GB2312"/>
                <w:sz w:val="21"/>
              </w:rPr>
              <w:t>1.3.3</w:t>
            </w:r>
            <w:r>
              <w:rPr>
                <w:rFonts w:ascii="仿宋_GB2312" w:hAnsi="仿宋_GB2312" w:cs="仿宋_GB2312" w:eastAsia="仿宋_GB2312"/>
                <w:sz w:val="21"/>
              </w:rPr>
              <w:t>坚持立足当前，谋划长远；</w:t>
            </w:r>
          </w:p>
          <w:p>
            <w:pPr>
              <w:pStyle w:val="null3"/>
              <w:ind w:firstLine="420"/>
              <w:jc w:val="both"/>
            </w:pPr>
            <w:r>
              <w:rPr>
                <w:rFonts w:ascii="仿宋_GB2312" w:hAnsi="仿宋_GB2312" w:cs="仿宋_GB2312" w:eastAsia="仿宋_GB2312"/>
                <w:sz w:val="21"/>
              </w:rPr>
              <w:t>1.3.4</w:t>
            </w:r>
            <w:r>
              <w:rPr>
                <w:rFonts w:ascii="仿宋_GB2312" w:hAnsi="仿宋_GB2312" w:cs="仿宋_GB2312" w:eastAsia="仿宋_GB2312"/>
                <w:sz w:val="21"/>
              </w:rPr>
              <w:t>坚持全面规划，突出重点；</w:t>
            </w:r>
          </w:p>
          <w:p>
            <w:pPr>
              <w:pStyle w:val="null3"/>
              <w:jc w:val="both"/>
            </w:pPr>
            <w:r>
              <w:rPr>
                <w:rFonts w:ascii="仿宋_GB2312" w:hAnsi="仿宋_GB2312" w:cs="仿宋_GB2312" w:eastAsia="仿宋_GB2312"/>
                <w:sz w:val="21"/>
              </w:rPr>
              <w:t xml:space="preserve">        1.3.5</w:t>
            </w:r>
            <w:r>
              <w:rPr>
                <w:rFonts w:ascii="仿宋_GB2312" w:hAnsi="仿宋_GB2312" w:cs="仿宋_GB2312" w:eastAsia="仿宋_GB2312"/>
                <w:sz w:val="21"/>
              </w:rPr>
              <w:t>坚持纵向衔接，横向联动。</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22"/>
              <w:jc w:val="both"/>
            </w:pPr>
            <w:r>
              <w:rPr>
                <w:rFonts w:ascii="仿宋_GB2312" w:hAnsi="仿宋_GB2312" w:cs="仿宋_GB2312" w:eastAsia="仿宋_GB2312"/>
                <w:sz w:val="21"/>
                <w:b/>
              </w:rPr>
              <w:t>1.4</w:t>
            </w:r>
            <w:r>
              <w:rPr>
                <w:rFonts w:ascii="仿宋_GB2312" w:hAnsi="仿宋_GB2312" w:cs="仿宋_GB2312" w:eastAsia="仿宋_GB2312"/>
                <w:sz w:val="21"/>
                <w:b/>
              </w:rPr>
              <w:t>质量要求</w:t>
            </w:r>
          </w:p>
          <w:p>
            <w:pPr>
              <w:pStyle w:val="null3"/>
              <w:jc w:val="both"/>
            </w:pPr>
            <w:r>
              <w:rPr>
                <w:rFonts w:ascii="仿宋_GB2312" w:hAnsi="仿宋_GB2312" w:cs="仿宋_GB2312" w:eastAsia="仿宋_GB2312"/>
                <w:sz w:val="21"/>
              </w:rPr>
              <w:t>达到国家现行质量验收合格标准。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22"/>
              <w:jc w:val="both"/>
            </w:pPr>
            <w:r>
              <w:rPr>
                <w:rFonts w:ascii="仿宋_GB2312" w:hAnsi="仿宋_GB2312" w:cs="仿宋_GB2312" w:eastAsia="仿宋_GB2312"/>
                <w:sz w:val="21"/>
                <w:b/>
              </w:rPr>
              <w:t>1.5</w:t>
            </w:r>
            <w:r>
              <w:rPr>
                <w:rFonts w:ascii="仿宋_GB2312" w:hAnsi="仿宋_GB2312" w:cs="仿宋_GB2312" w:eastAsia="仿宋_GB2312"/>
                <w:sz w:val="21"/>
                <w:b/>
              </w:rPr>
              <w:t>验收要求</w:t>
            </w:r>
          </w:p>
          <w:p>
            <w:pPr>
              <w:pStyle w:val="null3"/>
              <w:jc w:val="both"/>
            </w:pPr>
            <w:r>
              <w:rPr>
                <w:rFonts w:ascii="仿宋_GB2312" w:hAnsi="仿宋_GB2312" w:cs="仿宋_GB2312" w:eastAsia="仿宋_GB2312"/>
                <w:sz w:val="21"/>
              </w:rPr>
              <w:t>按时提交规划编制方案成果，按程序报市委、市政府研究审定，提请市人民代表大会审议讨论。</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22"/>
              <w:jc w:val="both"/>
            </w:pPr>
            <w:r>
              <w:rPr>
                <w:rFonts w:ascii="仿宋_GB2312" w:hAnsi="仿宋_GB2312" w:cs="仿宋_GB2312" w:eastAsia="仿宋_GB2312"/>
                <w:sz w:val="21"/>
                <w:b/>
              </w:rPr>
              <w:t>1.6</w:t>
            </w:r>
            <w:r>
              <w:rPr>
                <w:rFonts w:ascii="仿宋_GB2312" w:hAnsi="仿宋_GB2312" w:cs="仿宋_GB2312" w:eastAsia="仿宋_GB2312"/>
                <w:sz w:val="21"/>
                <w:b/>
              </w:rPr>
              <w:t>服务期限</w:t>
            </w:r>
          </w:p>
          <w:p>
            <w:pPr>
              <w:pStyle w:val="null3"/>
              <w:jc w:val="both"/>
            </w:pPr>
            <w:r>
              <w:rPr>
                <w:rFonts w:ascii="仿宋_GB2312" w:hAnsi="仿宋_GB2312" w:cs="仿宋_GB2312" w:eastAsia="仿宋_GB2312"/>
                <w:sz w:val="21"/>
              </w:rPr>
              <w:t>具体以项目结束时间为准</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ind w:firstLine="422"/>
              <w:jc w:val="both"/>
            </w:pPr>
            <w:r>
              <w:rPr>
                <w:rFonts w:ascii="仿宋_GB2312" w:hAnsi="仿宋_GB2312" w:cs="仿宋_GB2312" w:eastAsia="仿宋_GB2312"/>
                <w:sz w:val="21"/>
                <w:b/>
              </w:rPr>
              <w:t>1.7</w:t>
            </w:r>
            <w:r>
              <w:rPr>
                <w:rFonts w:ascii="仿宋_GB2312" w:hAnsi="仿宋_GB2312" w:cs="仿宋_GB2312" w:eastAsia="仿宋_GB2312"/>
                <w:sz w:val="21"/>
                <w:b/>
              </w:rPr>
              <w:t>付款方式</w:t>
            </w:r>
          </w:p>
          <w:p>
            <w:pPr>
              <w:pStyle w:val="null3"/>
              <w:jc w:val="both"/>
            </w:pPr>
            <w:r>
              <w:rPr>
                <w:rFonts w:ascii="仿宋_GB2312" w:hAnsi="仿宋_GB2312" w:cs="仿宋_GB2312" w:eastAsia="仿宋_GB2312"/>
                <w:sz w:val="21"/>
              </w:rPr>
              <w:t>项目实施完成并交付合格成果文件后，由供应商提供票据并申请，由</w:t>
            </w:r>
            <w:r>
              <w:rPr>
                <w:rFonts w:ascii="仿宋_GB2312" w:hAnsi="仿宋_GB2312" w:cs="仿宋_GB2312" w:eastAsia="仿宋_GB2312"/>
                <w:sz w:val="21"/>
              </w:rPr>
              <w:t>商洛市商务局</w:t>
            </w:r>
            <w:r>
              <w:rPr>
                <w:rFonts w:ascii="仿宋_GB2312" w:hAnsi="仿宋_GB2312" w:cs="仿宋_GB2312" w:eastAsia="仿宋_GB2312"/>
                <w:sz w:val="21"/>
              </w:rPr>
              <w:t>结算设计费用（具体以签订合同为准</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其他要求</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设计单位应按照总体服务方案确保工作进度及工作质量，足量配备符合要求的专业技术力量或团队投入本项目，确保提交设计成果准时、准确，符合国家或行业相关规定及要求。</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要求具有完善的技术支持服务措施，高水平的专业编制人员以及高效的工作作风，并承诺能紧密配合采购人的工作需求。</w:t>
            </w:r>
          </w:p>
          <w:p>
            <w:pPr>
              <w:pStyle w:val="null3"/>
              <w:ind w:firstLine="420"/>
              <w:jc w:val="both"/>
            </w:pPr>
            <w:r>
              <w:rPr>
                <w:rFonts w:ascii="仿宋_GB2312" w:hAnsi="仿宋_GB2312" w:cs="仿宋_GB2312" w:eastAsia="仿宋_GB2312"/>
                <w:sz w:val="21"/>
              </w:rPr>
              <w:t>2.3</w:t>
            </w:r>
            <w:r>
              <w:rPr>
                <w:rFonts w:ascii="仿宋_GB2312" w:hAnsi="仿宋_GB2312" w:cs="仿宋_GB2312" w:eastAsia="仿宋_GB2312"/>
                <w:sz w:val="21"/>
              </w:rPr>
              <w:t>本项目的全部原始资料、中间过渡及最终成果所有权属于</w:t>
            </w:r>
            <w:r>
              <w:rPr>
                <w:rFonts w:ascii="仿宋_GB2312" w:hAnsi="仿宋_GB2312" w:cs="仿宋_GB2312" w:eastAsia="仿宋_GB2312"/>
                <w:sz w:val="21"/>
              </w:rPr>
              <w:t>采购人商洛市商务局所有</w:t>
            </w:r>
            <w:r>
              <w:rPr>
                <w:rFonts w:ascii="仿宋_GB2312" w:hAnsi="仿宋_GB2312" w:cs="仿宋_GB2312" w:eastAsia="仿宋_GB2312"/>
                <w:sz w:val="21"/>
              </w:rPr>
              <w:t>。未经</w:t>
            </w:r>
            <w:r>
              <w:rPr>
                <w:rFonts w:ascii="仿宋_GB2312" w:hAnsi="仿宋_GB2312" w:cs="仿宋_GB2312" w:eastAsia="仿宋_GB2312"/>
                <w:sz w:val="21"/>
              </w:rPr>
              <w:t>采购人</w:t>
            </w:r>
            <w:r>
              <w:rPr>
                <w:rFonts w:ascii="仿宋_GB2312" w:hAnsi="仿宋_GB2312" w:cs="仿宋_GB2312" w:eastAsia="仿宋_GB2312"/>
                <w:sz w:val="21"/>
              </w:rPr>
              <w:t>许可，成交单位不得擅自将原始资料、中间过渡或最终成果复制自留或提供给其他任何单位和个人，为自己或其他任何单位和个人谋取利益。</w:t>
            </w:r>
          </w:p>
          <w:p>
            <w:pPr>
              <w:pStyle w:val="null3"/>
              <w:ind w:firstLine="420"/>
              <w:jc w:val="both"/>
            </w:pPr>
            <w:r>
              <w:rPr>
                <w:rFonts w:ascii="仿宋_GB2312" w:hAnsi="仿宋_GB2312" w:cs="仿宋_GB2312" w:eastAsia="仿宋_GB2312"/>
                <w:sz w:val="21"/>
              </w:rPr>
              <w:t>2.4</w:t>
            </w:r>
            <w:r>
              <w:rPr>
                <w:rFonts w:ascii="仿宋_GB2312" w:hAnsi="仿宋_GB2312" w:cs="仿宋_GB2312" w:eastAsia="仿宋_GB2312"/>
                <w:sz w:val="21"/>
              </w:rPr>
              <w:t>中标单位在本项目实施过程中，涉及属于涉密资料的，由中标单位按照国家涉要求执行，实施前应签定数据成果使用保密协议书，保密协议书作为合同文件的组成部分。</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合同实施</w:t>
            </w:r>
          </w:p>
          <w:p>
            <w:pPr>
              <w:pStyle w:val="null3"/>
              <w:ind w:firstLine="420"/>
              <w:jc w:val="both"/>
            </w:pPr>
            <w:r>
              <w:rPr>
                <w:rFonts w:ascii="仿宋_GB2312" w:hAnsi="仿宋_GB2312" w:cs="仿宋_GB2312" w:eastAsia="仿宋_GB2312"/>
                <w:sz w:val="21"/>
              </w:rPr>
              <w:t>3.1</w:t>
            </w:r>
            <w:r>
              <w:rPr>
                <w:rFonts w:ascii="仿宋_GB2312" w:hAnsi="仿宋_GB2312" w:cs="仿宋_GB2312" w:eastAsia="仿宋_GB2312"/>
                <w:sz w:val="21"/>
              </w:rPr>
              <w:t>供应商应在合同签订后</w:t>
            </w:r>
            <w:r>
              <w:rPr>
                <w:rFonts w:ascii="仿宋_GB2312" w:hAnsi="仿宋_GB2312" w:cs="仿宋_GB2312" w:eastAsia="仿宋_GB2312"/>
                <w:sz w:val="21"/>
              </w:rPr>
              <w:t>立即</w:t>
            </w:r>
            <w:r>
              <w:rPr>
                <w:rFonts w:ascii="仿宋_GB2312" w:hAnsi="仿宋_GB2312" w:cs="仿宋_GB2312" w:eastAsia="仿宋_GB2312"/>
                <w:sz w:val="21"/>
              </w:rPr>
              <w:t>安排人员与使用单位就此项目等一系列工作进行安排、部署。</w:t>
            </w:r>
          </w:p>
          <w:p>
            <w:pPr>
              <w:pStyle w:val="null3"/>
              <w:ind w:firstLine="420"/>
              <w:jc w:val="both"/>
            </w:pPr>
            <w:r>
              <w:rPr>
                <w:rFonts w:ascii="仿宋_GB2312" w:hAnsi="仿宋_GB2312" w:cs="仿宋_GB2312" w:eastAsia="仿宋_GB2312"/>
                <w:sz w:val="21"/>
              </w:rPr>
              <w:t xml:space="preserve">3.2 </w:t>
            </w:r>
            <w:r>
              <w:rPr>
                <w:rFonts w:ascii="仿宋_GB2312" w:hAnsi="仿宋_GB2312" w:cs="仿宋_GB2312" w:eastAsia="仿宋_GB2312"/>
                <w:sz w:val="21"/>
              </w:rPr>
              <w:t>若未能完成合同规定的义务，由此对采购人造成的延误和一切损失，将由中标服务商的履约保证金弥补采购人的损失。履约保证金不足以弥补采购人损失的，由中标服务商额外赔偿。</w:t>
            </w:r>
          </w:p>
          <w:p>
            <w:pPr>
              <w:pStyle w:val="null3"/>
              <w:ind w:firstLine="420"/>
              <w:jc w:val="both"/>
            </w:pPr>
            <w:r>
              <w:rPr>
                <w:rFonts w:ascii="仿宋_GB2312" w:hAnsi="仿宋_GB2312" w:cs="仿宋_GB2312" w:eastAsia="仿宋_GB2312"/>
                <w:sz w:val="21"/>
              </w:rPr>
              <w:t>3.3</w:t>
            </w:r>
            <w:r>
              <w:rPr>
                <w:rFonts w:ascii="仿宋_GB2312" w:hAnsi="仿宋_GB2312" w:cs="仿宋_GB2312" w:eastAsia="仿宋_GB2312"/>
                <w:sz w:val="21"/>
              </w:rPr>
              <w:t>违约责任：</w:t>
            </w:r>
          </w:p>
          <w:p>
            <w:pPr>
              <w:pStyle w:val="null3"/>
              <w:ind w:firstLine="420"/>
              <w:jc w:val="both"/>
            </w:pPr>
            <w:r>
              <w:rPr>
                <w:rFonts w:ascii="仿宋_GB2312" w:hAnsi="仿宋_GB2312" w:cs="仿宋_GB2312" w:eastAsia="仿宋_GB2312"/>
                <w:sz w:val="21"/>
              </w:rPr>
              <w:t>3.3.1</w:t>
            </w:r>
            <w:r>
              <w:rPr>
                <w:rFonts w:ascii="仿宋_GB2312" w:hAnsi="仿宋_GB2312" w:cs="仿宋_GB2312" w:eastAsia="仿宋_GB2312"/>
                <w:sz w:val="21"/>
              </w:rPr>
              <w:t>按《中华人民共和国合同法》中的相关条款执行。</w:t>
            </w:r>
          </w:p>
          <w:p>
            <w:pPr>
              <w:pStyle w:val="null3"/>
              <w:jc w:val="both"/>
            </w:pPr>
            <w:r>
              <w:rPr>
                <w:rFonts w:ascii="仿宋_GB2312" w:hAnsi="仿宋_GB2312" w:cs="仿宋_GB2312" w:eastAsia="仿宋_GB2312"/>
                <w:sz w:val="21"/>
              </w:rPr>
              <w:t>3.3.2</w:t>
            </w:r>
            <w:r>
              <w:rPr>
                <w:rFonts w:ascii="仿宋_GB2312" w:hAnsi="仿宋_GB2312" w:cs="仿宋_GB2312" w:eastAsia="仿宋_GB2312"/>
                <w:sz w:val="21"/>
              </w:rPr>
              <w:t>未按合同要求提供产品质量不能满足技术要求，采购人有权终止合同，并对供方违约行为进行追究，同时按《政府采购法》的有关规定进行处罚。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1、供应商按照总体服务方案确保工作进度及工作质量，足量配备符合要求的专业技术力量或团队投入本项目，确保提交设计成果准时、准确，符合国家或行业相关规定及要求。 2、要求具有完善的技术支持服务措施，高水平的专业编制人员以及高效的工作作风，并承诺能紧密配合采购人的工作需求。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采购方规定项目结束时间为准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有权根据国家有关服务规范规定，对乙方在服务期内的服务实施情况进行分期考核或检查，乙方须无条件接受甲方的各类考核或检查；若服务质量不符合采购要求，乙方应在一定期限进行整改完善，以甲方要求的标准提供合格服务；若乙方在接受检查整改后，仍不能提供符合采购要求的合格服务，甲方有权按违约予以撤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经双方协商，合同实行分期付款的方式，即合同签订之后，甲方向乙方支付合同总价款的70%预付款。</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项目实施完成并经专家评审、甲方书面验收合格后支付合同总价款30%的尾款。</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不能满足合同要求，采购人应当将服务商违约的情况以及拟采取的措施以书面形式报政府采购监管部门，根据政府采购监管部门的处理意见，采购人有权依据《中华人民共和国民法典》有关条款及合同约定终止合同，并要求服务商承担违约责任。同时，政府采购监管部门有权依据《中华人民共和国政府采购法》及相关法律法规对服务商的违法行为进行相应的处罚。 3.本合同在履行过程中发生的争议，由采购人、供应商当事人协商解决，协商不成的依法向采购人所在地人民法院起诉。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1.服务支持：供应商在项目实施过程中，质量保障人员、资源不足或者执行不力，给项目质量带来的风险超出采购人认定的允许范围时，采购人可终止本项目的合作并进行索赔。 2.知识产权、专利权： 供应商应对所提供的文稿及图像、影像材料，已取得合法知识产权或其使用权，供应商应保证所提供的服务不会出现因第三方提出侵犯其版权、商标权或其他知识产权而引发法律或经济纠纷，否则由供应商负责解决并承担全部责任；如因此影响到采购人的正常使用，采购人有权单方解除本合同，供应商应无条件向采购人退回已收取的全部合同价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提供2024年度经审计的财务审计报告（成立时间至提交投标文件截止时间不足一年的可提供成立后任意时段的资产负债表）或开标时间前六个月内基本存款账户开户银行出具的资信证 明及基本存款账户开户许可证或开户银行打印的含有企业基本存款账户编号的《基本存款账户信息》，并进行电子签章。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 《投标函》完成承诺并进行电子签章。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合法有效的统一社会信用代码营业执照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法定代表人直接投标须提交法定代表人证明书，法定代表人授权代表参加投标的，须出具法定代表人证明书及授权书，供应商需在项目电子化交易系统中按要求上传相应证明文件并进行电子签章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响应文件截止时间不足一年的可提供成立后任意时段的财务报表），或开标时间前六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近一年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业绩</w:t>
            </w:r>
          </w:p>
        </w:tc>
        <w:tc>
          <w:tcPr>
            <w:tcW w:type="dxa" w:w="3322"/>
          </w:tcPr>
          <w:p>
            <w:pPr>
              <w:pStyle w:val="null3"/>
            </w:pPr>
            <w:r>
              <w:rPr>
                <w:rFonts w:ascii="仿宋_GB2312" w:hAnsi="仿宋_GB2312" w:cs="仿宋_GB2312" w:eastAsia="仿宋_GB2312"/>
              </w:rPr>
              <w:t>供应商应提供近三年（2022年1月1日至今，以签订合同日期为准）内至少1项规划类项目业绩，并能提供业绩证明材料，业绩合同至少包含合同首页、签订时间、签字盖章页、反映业绩要求的关键页，否则视为无效业绩。</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单位负责人为同一人或者存在直接控股、管理关系的不同投标人，不得同时参加本项目同一合同项下的政府采购活动。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单位负责人为同一人或者存在直接控股、管理关系的不同投标人，不得同时参加本项目同一合同项下的政府采购活动。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本项目（合同包）不接受联合体投标。提交非 联合体形式参加本项目投标的声明函。供应商 需在项目电子化交易系统中按要求上传相应证 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规划方案</w:t>
            </w:r>
          </w:p>
        </w:tc>
        <w:tc>
          <w:tcPr>
            <w:tcW w:type="dxa" w:w="2492"/>
          </w:tcPr>
          <w:p>
            <w:pPr>
              <w:pStyle w:val="null3"/>
            </w:pPr>
            <w:r>
              <w:rPr>
                <w:rFonts w:ascii="仿宋_GB2312" w:hAnsi="仿宋_GB2312" w:cs="仿宋_GB2312" w:eastAsia="仿宋_GB2312"/>
              </w:rPr>
              <w:t>1、商洛市“十五五”开放型经济高质量发展规划： ①分析与评估商洛市“十四五”时期发展成就，涵盖制度型开放、开放通道构建、外资外贸发展、新业态培育、投资贸易便利化、产业集聚、国际经贸合作与人文交流（3分）； ②分析商洛市“十四五”时期发展特色与成果（3分）； ③分析商洛市“十四五”时期短板与问题（3分）； ④结合省市级商贸业相关发展规划、国土空间规划，提出方案可借鉴的规划思路，确保方案具有可落地性与实施性（3分）； ⑤编制“十五五”开放型经济项目规划清单，列出重点项目，针对重点改革项目提出行动方案规划（3分）。 2、商洛市“十五五”商贸流通发展规划： ①对“十四五”期间商洛市商贸流通业发展规模、业态发展进行总结，分析发展特点与存在问题（3分）； ②结合国内外商贸流通业发展趋势、政策环境以及商洛市自身发展需求，分析“十五五”期间面临的机遇和挑战（3分）； ③分析与评估商洛市城乡流通网络、区域枢纽功能、消费服务创新三大领域的发展与现状（3分）； ④围绕城乡流通网络优化、区域枢纽功能优化、消费服务创新三大领域，研究相关项目建设、政策支持、产业融合的解决路径（3分）； ⑤分析商洛市物流网络完善、区域枢纽建设目标（3分）。 3、商洛市“十五五”电子商务发展规划： ①分析“十四五”期间商洛市电子商务发展的基本情况，分析存在的问题与不足（3分）； ②分析国内外电子商务发展环境、政策导向及趋势。（3分）； ③研究涵盖国家、省级及市级针对电子商务的相关政策（3分）； ④结合商洛市电子商务发展现状，研究商洛市电子商务发展目标（3分）； ⑤针对电商生态体系、农村电商、跨境电商发展设计规划思路（3分）； 以上每项内容给出合理分析的得3分，不全面、针对性不足得1-2分，未提供或内容不合理不得分。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项目计划</w:t>
            </w:r>
          </w:p>
        </w:tc>
        <w:tc>
          <w:tcPr>
            <w:tcW w:type="dxa" w:w="2492"/>
          </w:tcPr>
          <w:p>
            <w:pPr>
              <w:pStyle w:val="null3"/>
            </w:pPr>
            <w:r>
              <w:rPr>
                <w:rFonts w:ascii="仿宋_GB2312" w:hAnsi="仿宋_GB2312" w:cs="仿宋_GB2312" w:eastAsia="仿宋_GB2312"/>
              </w:rPr>
              <w:t>根据采购需求提供服务进度及计划时间安排，内容包含：项目组织架构、工作及计划安排、项目进度控制、工作效率及保证措施、其他合理化建议。进度符合本项目实际需求，每响应上述一项得1分，满分5分。在此基础上，方案中存在缺陷或不足的，每有一处扣1分，扣完为止。不合理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根据项目实际情况和文件要求制定服务质量保障措施，内容包括：1、规划编制项目的质量保障措施及保密措施；2、提供必要的信息数据库资源证明；3、提供资金投入计划；4、人员保障：项目负责人1人，项目组分项负责人和成员不得少于12人。5、制定完善的服务方案。以上内容每提供一项得1分，满分5分，每有一项描述不完整、不准确、不清晰的扣1分，每有一处不满足实际情况的扣1分，扣完为止。不合理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数据资源</w:t>
            </w:r>
          </w:p>
        </w:tc>
        <w:tc>
          <w:tcPr>
            <w:tcW w:type="dxa" w:w="2492"/>
          </w:tcPr>
          <w:p>
            <w:pPr>
              <w:pStyle w:val="null3"/>
            </w:pPr>
            <w:r>
              <w:rPr>
                <w:rFonts w:ascii="仿宋_GB2312" w:hAnsi="仿宋_GB2312" w:cs="仿宋_GB2312" w:eastAsia="仿宋_GB2312"/>
              </w:rPr>
              <w:t>1、具备开放型经济背景下省级或国家级研究中心数据资源（含一带一路大数据研究），为项目规划提供数据支持。提供相关证明材料得3分，否则不得分。 2、拥有或授权使用三个（含）以上数据库（万方Wanfang、知网CNKI、维普CQVIP、国家科技图书文献中心（NSTL）、国务院发展研究中心信息网、Springer 电子期刊全文数据库、Emerald数据库、Science Direct数据库）。提供有效的证明文件得2分，否则不得分。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项目负责人及分项负责人技术要求</w:t>
            </w:r>
          </w:p>
        </w:tc>
        <w:tc>
          <w:tcPr>
            <w:tcW w:type="dxa" w:w="2492"/>
          </w:tcPr>
          <w:p>
            <w:pPr>
              <w:pStyle w:val="null3"/>
            </w:pPr>
            <w:r>
              <w:rPr>
                <w:rFonts w:ascii="仿宋_GB2312" w:hAnsi="仿宋_GB2312" w:cs="仿宋_GB2312" w:eastAsia="仿宋_GB2312"/>
              </w:rPr>
              <w:t>1、项目负责人具备组织、规划及统筹管理能力； 2、“‘十五五’开放型经济规划”分项负责人具备经济专业技术能力； 3、“‘十五五’商贸流通规划”分项负责人具备管理、管理科学与工程专业技术能力； 4、“‘十五五’电子商务规划”分项负责人具有电子商务专业技术能力； 以上人员具有高级职称的得2分，具有中级职称的得1分，不提供的不得分，满分8分。 注：证明材料为人员职称证及竞标截止时间起算前一年内在本单位至少六个月的社保证明（社保证明需体现人员信息）。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团队成员技术要求</w:t>
            </w:r>
          </w:p>
        </w:tc>
        <w:tc>
          <w:tcPr>
            <w:tcW w:type="dxa" w:w="2492"/>
          </w:tcPr>
          <w:p>
            <w:pPr>
              <w:pStyle w:val="null3"/>
            </w:pPr>
            <w:r>
              <w:rPr>
                <w:rFonts w:ascii="仿宋_GB2312" w:hAnsi="仿宋_GB2312" w:cs="仿宋_GB2312" w:eastAsia="仿宋_GB2312"/>
              </w:rPr>
              <w:t>项目团队成员（除项目负责人以外）： 1、“‘十五五’开放型经济规划”方向成员不得少于3人，且至少2人具备经济专业技术能力； 2、“‘十五五’商贸流通规划”方向成员不得少于3人，且至少2人具备管理、管理科学与工程专业技术能力； 3、“‘十五五’电子商务规划”方向成员不得少于3人，且至少2人具备电子商务及相关专业技术能力； 以上人员具有高级职称的得2分，具有中级职称的得1分，不提供的不得分，满分12分。 注：证明材料为人员职称证及竞标截止时间起算前一年内在本单位至少六个月的社保证明（社保证明需体现人员信息）。</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企业资信</w:t>
            </w:r>
          </w:p>
        </w:tc>
        <w:tc>
          <w:tcPr>
            <w:tcW w:type="dxa" w:w="2492"/>
          </w:tcPr>
          <w:p>
            <w:pPr>
              <w:pStyle w:val="null3"/>
            </w:pPr>
            <w:r>
              <w:rPr>
                <w:rFonts w:ascii="仿宋_GB2312" w:hAnsi="仿宋_GB2312" w:cs="仿宋_GB2312" w:eastAsia="仿宋_GB2312"/>
              </w:rPr>
              <w:t>投标企业未被列入“中国执行信息公开网”失信被执行人名单，未被列入“信用中国”网站重大税收违法失信主体，未被列入“中国政府采购网”政府采购严重违法失信行为记录名单的得3分，否则不得分。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企业规模</w:t>
            </w:r>
          </w:p>
        </w:tc>
        <w:tc>
          <w:tcPr>
            <w:tcW w:type="dxa" w:w="2492"/>
          </w:tcPr>
          <w:p>
            <w:pPr>
              <w:pStyle w:val="null3"/>
            </w:pPr>
            <w:r>
              <w:rPr>
                <w:rFonts w:ascii="仿宋_GB2312" w:hAnsi="仿宋_GB2312" w:cs="仿宋_GB2312" w:eastAsia="仿宋_GB2312"/>
              </w:rPr>
              <w:t>根据投标供应商2024年缴纳社保金额由大至小排名，第一名得3分，依次递减1分。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综合评价</w:t>
            </w:r>
          </w:p>
        </w:tc>
        <w:tc>
          <w:tcPr>
            <w:tcW w:type="dxa" w:w="2492"/>
          </w:tcPr>
          <w:p>
            <w:pPr>
              <w:pStyle w:val="null3"/>
            </w:pPr>
            <w:r>
              <w:rPr>
                <w:rFonts w:ascii="仿宋_GB2312" w:hAnsi="仿宋_GB2312" w:cs="仿宋_GB2312" w:eastAsia="仿宋_GB2312"/>
              </w:rPr>
              <w:t>1、投标文件内容编制的详实、合理、清晰完整得满分2分，每有一处非实质性内容错漏或偏差扣1分，直至本项得分扣至0分。 2、投标文件按招标文件要求格式、顺序编制，得满分2分，每有一处非实质性格式偏差扣1分，直至本项得分扣至0分。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1、评标基准价计算方法： ①评标价格=按照本章正文规定的原则对投标报价进行算数性错误修正、报价漏项及超范围报价等因素调整后的最终报价。 ②评标基准价A=各合格投标人中经复核后的评标价格的算术平均值。 2、投标报价的偏差率计算公式 偏差率K=（评标价格-A）/A×100% 3、价格评分标准 偏差率为0的评标价格得分为10分，比评标基准价高的评标价格得分为：（100-偏差率*100*0.5）*10%，比评标基准价低的评标价格得分为：（100+偏差率*100*0.25）*10%，评标价格的最低分为0分。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详见附件：十五五规划编制合同文本.docx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