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版本号：SLSJ[2025]03020250924001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商洛市耕地土壤重金属污染成因排查项目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SLSJ[2025]030</w:t>
      </w:r>
      <w:r>
        <w:br/>
      </w:r>
      <w:r>
        <w:br/>
      </w:r>
      <w:r>
        <w:br/>
      </w:r>
    </w:p>
    <w:p>
      <w:pPr>
        <w:pStyle w:val="null3"/>
        <w:jc w:val="center"/>
        <w:outlineLvl w:val="2"/>
      </w:pPr>
      <w:r>
        <w:rPr>
          <w:rFonts w:ascii="仿宋_GB2312" w:hAnsi="仿宋_GB2312" w:cs="仿宋_GB2312" w:eastAsia="仿宋_GB2312"/>
          <w:sz w:val="28"/>
          <w:b/>
        </w:rPr>
        <w:t>商洛市生态环境局</w:t>
      </w:r>
    </w:p>
    <w:p>
      <w:pPr>
        <w:pStyle w:val="null3"/>
        <w:jc w:val="center"/>
        <w:outlineLvl w:val="2"/>
      </w:pPr>
      <w:r>
        <w:rPr>
          <w:rFonts w:ascii="仿宋_GB2312" w:hAnsi="仿宋_GB2312" w:cs="仿宋_GB2312" w:eastAsia="仿宋_GB2312"/>
          <w:sz w:val="28"/>
          <w:b/>
        </w:rPr>
        <w:t>商洛市建筑勘察设计院</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商洛市建筑勘察设计院</w:t>
      </w:r>
      <w:r>
        <w:rPr>
          <w:rFonts w:ascii="仿宋_GB2312" w:hAnsi="仿宋_GB2312" w:cs="仿宋_GB2312" w:eastAsia="仿宋_GB2312"/>
        </w:rPr>
        <w:t>（以下简称“代理机构”）受</w:t>
      </w:r>
      <w:r>
        <w:rPr>
          <w:rFonts w:ascii="仿宋_GB2312" w:hAnsi="仿宋_GB2312" w:cs="仿宋_GB2312" w:eastAsia="仿宋_GB2312"/>
        </w:rPr>
        <w:t>商洛市生态环境局</w:t>
      </w:r>
      <w:r>
        <w:rPr>
          <w:rFonts w:ascii="仿宋_GB2312" w:hAnsi="仿宋_GB2312" w:cs="仿宋_GB2312" w:eastAsia="仿宋_GB2312"/>
        </w:rPr>
        <w:t>委托，拟对</w:t>
      </w:r>
      <w:r>
        <w:rPr>
          <w:rFonts w:ascii="仿宋_GB2312" w:hAnsi="仿宋_GB2312" w:cs="仿宋_GB2312" w:eastAsia="仿宋_GB2312"/>
        </w:rPr>
        <w:t>商洛市耕地土壤重金属污染成因排查项目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SLSJ[2025]030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商洛市耕地土壤重金属污染成因排查项目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 xml:space="preserve"> 以农用地土壤污染状况详查结果为基础，对全市7个区县41个镇办150个村庄受污染农用地开展土壤重金属污染成因排查，对影响土壤环境治理的输入因素和输出因素进行调查监测，识别需要管控的污染成因，并根据识别的污染成因采取污染源头防控措施后，因地制宜通过再调查再监测开展成效评估。重点追溯当前仍在造成土壤污染的人为污染源，制定污染源整治计划，为耕地土壤污染精准防控、土壤重金属含量变化趋势分析提供数据基础，为有效切断污染物进入农田的链条、降低区域耕地土壤重金属输入、保障农产品质量安全提供技术支撑。</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采购包1（商洛市耕地土壤重金属污染成因排查项目）：属于专门面向中小企业采购。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1、证明文件：具有独立承担民事责任能力的法人或其他组织，提供营业执照或其他组织合法有效的证明文件。</w:t>
      </w:r>
    </w:p>
    <w:p>
      <w:pPr>
        <w:pStyle w:val="null3"/>
      </w:pPr>
      <w:r>
        <w:rPr>
          <w:rFonts w:ascii="仿宋_GB2312" w:hAnsi="仿宋_GB2312" w:cs="仿宋_GB2312" w:eastAsia="仿宋_GB2312"/>
        </w:rPr>
        <w:t>2、财务状况：提供2023或2024年度经审计的财务会计报告（至少包括审计报告、资产负债表和利润表）,或开标前三个月内其基本开户银行出具的资信证明；或政府采购信用担保机构出具的投标担保函。</w:t>
      </w:r>
    </w:p>
    <w:p>
      <w:pPr>
        <w:pStyle w:val="null3"/>
      </w:pPr>
      <w:r>
        <w:rPr>
          <w:rFonts w:ascii="仿宋_GB2312" w:hAnsi="仿宋_GB2312" w:cs="仿宋_GB2312" w:eastAsia="仿宋_GB2312"/>
        </w:rPr>
        <w:t>3、税收缴纳证明：提供投标截止日前 6 个月内已缴纳的至少一个月的有效纳税凭证，依法免税的应提供相关证明文件。</w:t>
      </w:r>
    </w:p>
    <w:p>
      <w:pPr>
        <w:pStyle w:val="null3"/>
      </w:pPr>
      <w:r>
        <w:rPr>
          <w:rFonts w:ascii="仿宋_GB2312" w:hAnsi="仿宋_GB2312" w:cs="仿宋_GB2312" w:eastAsia="仿宋_GB2312"/>
        </w:rPr>
        <w:t>4、社会保障资金缴纳证明：提供投标截止日前 6 个月内已缴存的至少一个月的有效缴存单据或社保机构开具的社会保险参保缴费情况证明，依法不需要缴纳社会保障资金的应提供相关证明文件。</w:t>
      </w:r>
    </w:p>
    <w:p>
      <w:pPr>
        <w:pStyle w:val="null3"/>
      </w:pPr>
      <w:r>
        <w:rPr>
          <w:rFonts w:ascii="仿宋_GB2312" w:hAnsi="仿宋_GB2312" w:cs="仿宋_GB2312" w:eastAsia="仿宋_GB2312"/>
        </w:rPr>
        <w:t>5、检验检测机构资质认定证书：供应商须具备市场监督管理部门颁发的合法有效的《检验检测机构资质认定证书》（CMA证书）。</w:t>
      </w:r>
    </w:p>
    <w:p>
      <w:pPr>
        <w:pStyle w:val="null3"/>
      </w:pPr>
      <w:r>
        <w:rPr>
          <w:rFonts w:ascii="仿宋_GB2312" w:hAnsi="仿宋_GB2312" w:cs="仿宋_GB2312" w:eastAsia="仿宋_GB2312"/>
        </w:rPr>
        <w:t>6、无重大违法记录书面声明：提供参加政府采购活动前3年内在经营活动中没有重大违法记录的书面声明。</w:t>
      </w:r>
    </w:p>
    <w:p>
      <w:pPr>
        <w:pStyle w:val="null3"/>
      </w:pPr>
      <w:r>
        <w:rPr>
          <w:rFonts w:ascii="仿宋_GB2312" w:hAnsi="仿宋_GB2312" w:cs="仿宋_GB2312" w:eastAsia="仿宋_GB2312"/>
        </w:rPr>
        <w:t>7、拟派项目负责人：拟派项目负责人须具备环境类或检验类相关专业高级及以上职称，并提供社保证明。</w:t>
      </w:r>
    </w:p>
    <w:p>
      <w:pPr>
        <w:pStyle w:val="null3"/>
      </w:pPr>
      <w:r>
        <w:rPr>
          <w:rFonts w:ascii="仿宋_GB2312" w:hAnsi="仿宋_GB2312" w:cs="仿宋_GB2312" w:eastAsia="仿宋_GB2312"/>
        </w:rPr>
        <w:t>8、履行本合同所必需的设备和专业技术能力：提供具有履行合同所必需的设备和专业技术能力的书面声明。</w:t>
      </w:r>
    </w:p>
    <w:p>
      <w:pPr>
        <w:pStyle w:val="null3"/>
      </w:pPr>
      <w:r>
        <w:rPr>
          <w:rFonts w:ascii="仿宋_GB2312" w:hAnsi="仿宋_GB2312" w:cs="仿宋_GB2312" w:eastAsia="仿宋_GB2312"/>
        </w:rPr>
        <w:t>9、授权委托：法定代表人直接参与投标时须提供法人身份证明书及身份证复印件并加盖公章；被授权人参与投标时须提供法定代表人授权委托书（附法定代表人及被委托人身份证复印件并加盖公章）。</w:t>
      </w:r>
    </w:p>
    <w:p>
      <w:pPr>
        <w:pStyle w:val="null3"/>
      </w:pPr>
      <w:r>
        <w:rPr>
          <w:rFonts w:ascii="仿宋_GB2312" w:hAnsi="仿宋_GB2312" w:cs="仿宋_GB2312" w:eastAsia="仿宋_GB2312"/>
        </w:rPr>
        <w:t>10、供应商信誉要求：供应商不得在“信用中国”网站（www.creditchina.gov.cn）中被列入重大税收违法失信主体的当事人，不得在“中国执行信息公开网”（http://zxgk.court.gov.cn）网站中被列为失信被执行人，不得为“中国政府采购网”（www.ccgp.gov.cn）政府采购严重违法失信行为记录名单中被财政部门禁止参加政府采购活动的供应商（附网站查询截图）。</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商洛市生态环境局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陕西省商洛市商州区民生路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商洛市生态环境局经办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0914-2985289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商洛市建筑勘察设计院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陕西省商洛市商州区民和路商洛设计大厦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18009148111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开户名称：商洛市建筑勘察设计院</w:t>
            </w:r>
          </w:p>
          <w:p>
            <w:pPr>
              <w:pStyle w:val="null3"/>
            </w:pPr>
            <w:r>
              <w:rPr>
                <w:rFonts w:ascii="仿宋_GB2312" w:hAnsi="仿宋_GB2312" w:cs="仿宋_GB2312" w:eastAsia="仿宋_GB2312"/>
              </w:rPr>
              <w:t>开户银行：中国邮政储蓄银行股份有限公司商洛市分行</w:t>
            </w:r>
          </w:p>
          <w:p>
            <w:pPr>
              <w:pStyle w:val="null3"/>
            </w:pPr>
            <w:r>
              <w:rPr>
                <w:rFonts w:ascii="仿宋_GB2312" w:hAnsi="仿宋_GB2312" w:cs="仿宋_GB2312" w:eastAsia="仿宋_GB2312"/>
              </w:rPr>
              <w:t>银行账号：961003010032488903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招标代理服务收费管理暂行办法》的通知(计价格【2002】1980号)和《国家发展改革委关于降低部分建设项目收费标准规范收费行为等有关问题的通知》(发改价格【2011】534号)文件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商洛市生态环境局</w:t>
      </w:r>
      <w:r>
        <w:rPr>
          <w:rFonts w:ascii="仿宋_GB2312" w:hAnsi="仿宋_GB2312" w:cs="仿宋_GB2312" w:eastAsia="仿宋_GB2312"/>
        </w:rPr>
        <w:t>和</w:t>
      </w:r>
      <w:r>
        <w:rPr>
          <w:rFonts w:ascii="仿宋_GB2312" w:hAnsi="仿宋_GB2312" w:cs="仿宋_GB2312" w:eastAsia="仿宋_GB2312"/>
        </w:rPr>
        <w:t>商洛市建筑勘察设计院</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商洛市生态环境局</w:t>
      </w:r>
      <w:r>
        <w:rPr>
          <w:rFonts w:ascii="仿宋_GB2312" w:hAnsi="仿宋_GB2312" w:cs="仿宋_GB2312" w:eastAsia="仿宋_GB2312"/>
        </w:rPr>
        <w:t>负责解释。除上述招标文件内容，其他内容由</w:t>
      </w:r>
      <w:r>
        <w:rPr>
          <w:rFonts w:ascii="仿宋_GB2312" w:hAnsi="仿宋_GB2312" w:cs="仿宋_GB2312" w:eastAsia="仿宋_GB2312"/>
        </w:rPr>
        <w:t>商洛市建筑勘察设计院</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商洛市生态环境局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商洛市建筑勘察设计院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商洛市建筑勘察设计院</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商洛市建筑勘察设计院</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商洛市建筑勘察设计院</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联系人：任工</w:t>
      </w:r>
    </w:p>
    <w:p>
      <w:pPr>
        <w:pStyle w:val="null3"/>
      </w:pPr>
      <w:r>
        <w:rPr>
          <w:rFonts w:ascii="仿宋_GB2312" w:hAnsi="仿宋_GB2312" w:cs="仿宋_GB2312" w:eastAsia="仿宋_GB2312"/>
        </w:rPr>
        <w:t>联系电话：0914-2181180</w:t>
      </w:r>
    </w:p>
    <w:p>
      <w:pPr>
        <w:pStyle w:val="null3"/>
      </w:pPr>
      <w:r>
        <w:rPr>
          <w:rFonts w:ascii="仿宋_GB2312" w:hAnsi="仿宋_GB2312" w:cs="仿宋_GB2312" w:eastAsia="仿宋_GB2312"/>
        </w:rPr>
        <w:t>地址：陕西省商洛市商州区民和路商洛设计大厦</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以农用地土壤污染状况详查结果为基础，对全市7个区县41个镇办150个村庄受污染农用地开展土壤重金属污染成因排查，对影响土壤环境治理的输入因素和输出因素进行调查监测，识别需要管控的污染成因，并根据识别的污染成因采取污染源头防控措施后，因地制宜通过再调查再监测开展成效评估。重点追溯当前仍在造成土壤污染的人为污染源，制定污染源整治计划，为耕地土壤污染精准防控、土壤重金属含量变化趋势分析提供数据基础，为有效切断污染物进入农田的链条、降低区域耕地土壤重金属输入、保障农产品质量安全提供技术支撑。</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3,620,000.00</w:t>
      </w:r>
    </w:p>
    <w:p>
      <w:pPr>
        <w:pStyle w:val="null3"/>
      </w:pPr>
      <w:r>
        <w:rPr>
          <w:rFonts w:ascii="仿宋_GB2312" w:hAnsi="仿宋_GB2312" w:cs="仿宋_GB2312" w:eastAsia="仿宋_GB2312"/>
        </w:rPr>
        <w:t>采购包最高限价（元）: 3,620,000.00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75"/>
              <w:ind w:left="1305"/>
              <w:jc w:val="center"/>
            </w:pPr>
            <w:r>
              <w:rPr>
                <w:rFonts w:ascii="仿宋_GB2312" w:hAnsi="仿宋_GB2312" w:cs="仿宋_GB2312" w:eastAsia="仿宋_GB2312"/>
                <w:sz w:val="16"/>
                <w:b/>
              </w:rPr>
              <w:t>商洛市耕地土壤重金属污染成因排查项目</w:t>
            </w:r>
            <w:r>
              <w:rPr>
                <w:rFonts w:ascii="仿宋_GB2312" w:hAnsi="仿宋_GB2312" w:cs="仿宋_GB2312" w:eastAsia="仿宋_GB2312"/>
                <w:sz w:val="16"/>
                <w:b/>
              </w:rPr>
              <w:t>采购需求</w:t>
            </w:r>
          </w:p>
          <w:p>
            <w:pPr>
              <w:pStyle w:val="null3"/>
              <w:ind w:left="90"/>
            </w:pPr>
            <w:r>
              <w:rPr>
                <w:rFonts w:ascii="仿宋_GB2312" w:hAnsi="仿宋_GB2312" w:cs="仿宋_GB2312" w:eastAsia="仿宋_GB2312"/>
                <w:sz w:val="16"/>
                <w:b/>
              </w:rPr>
              <w:t>一、</w:t>
            </w:r>
            <w:r>
              <w:rPr>
                <w:rFonts w:ascii="仿宋_GB2312" w:hAnsi="仿宋_GB2312" w:cs="仿宋_GB2312" w:eastAsia="仿宋_GB2312"/>
                <w:sz w:val="16"/>
                <w:b/>
              </w:rPr>
              <w:t>项目依据</w:t>
            </w:r>
          </w:p>
          <w:p>
            <w:pPr>
              <w:pStyle w:val="null3"/>
            </w:pPr>
            <w:r>
              <w:rPr>
                <w:rFonts w:ascii="仿宋_GB2312" w:hAnsi="仿宋_GB2312" w:cs="仿宋_GB2312" w:eastAsia="仿宋_GB2312"/>
                <w:sz w:val="16"/>
              </w:rPr>
              <w:t>2023年，国务院印发了《中共中央 国务院关于全面推进美丽中国建设的意见》，提出了“分阶段推进农用地土壤重金属污染溯源和整治全覆盖”的新要求。2024年，七部委联合印发了《土壤污染源头防控行动计划》，提出“全面启动受污染农用地溯源，推动各县（市、区）应查尽查，分阶段应治尽治”。陕西省高度重视党中央国务院决策部署，建立了自上而下土壤污染溯源工作机制，陕西省生态环境厅印发了《关于开展农用地土壤重金属污染溯源工作的通知》（陕环土壤函〔2024〕59号），积极推动农用地土壤重金属污染溯源全覆盖。</w:t>
            </w:r>
          </w:p>
          <w:p>
            <w:pPr>
              <w:pStyle w:val="null3"/>
            </w:pPr>
            <w:r>
              <w:rPr>
                <w:rFonts w:ascii="仿宋_GB2312" w:hAnsi="仿宋_GB2312" w:cs="仿宋_GB2312" w:eastAsia="仿宋_GB2312"/>
                <w:sz w:val="16"/>
              </w:rPr>
              <w:t>二、</w:t>
            </w:r>
            <w:r>
              <w:rPr>
                <w:rFonts w:ascii="仿宋_GB2312" w:hAnsi="仿宋_GB2312" w:cs="仿宋_GB2312" w:eastAsia="仿宋_GB2312"/>
                <w:sz w:val="16"/>
                <w:b/>
              </w:rPr>
              <w:t>项目目标</w:t>
            </w:r>
          </w:p>
          <w:p>
            <w:pPr>
              <w:pStyle w:val="null3"/>
            </w:pPr>
            <w:r>
              <w:rPr>
                <w:rFonts w:ascii="仿宋_GB2312" w:hAnsi="仿宋_GB2312" w:cs="仿宋_GB2312" w:eastAsia="仿宋_GB2312"/>
                <w:sz w:val="16"/>
              </w:rPr>
              <w:t>以农用地土壤污染状况详查结果为基础，对全市</w:t>
            </w:r>
            <w:r>
              <w:rPr>
                <w:rFonts w:ascii="仿宋_GB2312" w:hAnsi="仿宋_GB2312" w:cs="仿宋_GB2312" w:eastAsia="仿宋_GB2312"/>
                <w:sz w:val="16"/>
              </w:rPr>
              <w:t>7个区县41个镇办150个村庄受污染农用地开展土壤重金属污染成因排查，对影响土壤环境治理的输入因素和输出因素进行调查监测，识别需要管控的污染成因，并根据识别的污染成因采取污染源头防控措施后，因地制宜通过再调查再监测开展成效评估。重点追溯当前仍在造成土壤污染的人为污染源，制定污染源整治计划，为耕地土壤污染精准防控、土壤重金属含量变化趋势分析提供数据基础，为有效切断污染物进入农田的链条、降低区域耕地土壤重金属输入、保障农产品质量安全提供技术支撑。</w:t>
            </w:r>
          </w:p>
          <w:p>
            <w:pPr>
              <w:pStyle w:val="null3"/>
              <w:ind w:left="90" w:right="90" w:firstLine="431"/>
            </w:pPr>
            <w:r>
              <w:rPr>
                <w:rFonts w:ascii="仿宋_GB2312" w:hAnsi="仿宋_GB2312" w:cs="仿宋_GB2312" w:eastAsia="仿宋_GB2312"/>
                <w:sz w:val="16"/>
              </w:rPr>
              <w:t>三、</w:t>
            </w:r>
            <w:r>
              <w:rPr>
                <w:rFonts w:ascii="仿宋_GB2312" w:hAnsi="仿宋_GB2312" w:cs="仿宋_GB2312" w:eastAsia="仿宋_GB2312"/>
                <w:sz w:val="16"/>
                <w:b/>
              </w:rPr>
              <w:t>服务内容及要求</w:t>
            </w:r>
          </w:p>
          <w:p>
            <w:pPr>
              <w:pStyle w:val="null3"/>
              <w:ind w:right="90" w:firstLine="480"/>
            </w:pPr>
            <w:r>
              <w:rPr>
                <w:rFonts w:ascii="仿宋_GB2312" w:hAnsi="仿宋_GB2312" w:cs="仿宋_GB2312" w:eastAsia="仿宋_GB2312"/>
                <w:sz w:val="16"/>
              </w:rPr>
              <w:t>在充分收集自然资源、环境质量状况、土壤和农产品调查监测数据、土壤污染源信息等资料基础上，开展耕地土壤污染成因初步研判和现场查勘和访谈，对耕地土壤污染成因进行定性判断。对于不能定性判断污染成因的，开展补充调查和监测，根据补充调查和监测结果定性判断耕地土壤污染成因。根据成因判断结果，追溯现存污染源，提出耕地土壤污染源管控措施，完成成果集成。提交《耕地土壤重金属污染成因排查报告》，通过技术评审。</w:t>
            </w:r>
          </w:p>
          <w:p>
            <w:pPr>
              <w:pStyle w:val="null3"/>
              <w:ind w:left="90" w:right="90" w:firstLine="320"/>
            </w:pPr>
            <w:r>
              <w:rPr>
                <w:rFonts w:ascii="仿宋_GB2312" w:hAnsi="仿宋_GB2312" w:cs="仿宋_GB2312" w:eastAsia="仿宋_GB2312"/>
                <w:sz w:val="16"/>
              </w:rPr>
              <w:t>对全市</w:t>
            </w:r>
            <w:r>
              <w:rPr>
                <w:rFonts w:ascii="仿宋_GB2312" w:hAnsi="仿宋_GB2312" w:cs="仿宋_GB2312" w:eastAsia="仿宋_GB2312"/>
                <w:sz w:val="16"/>
              </w:rPr>
              <w:t>7县区确定调查区域范围、收集资料数据、初步判断污染成因、现场踏勘和人员访谈、污染成因定性判定、补充调查监测、结果分析与源头追溯，完成各类样品分析测试数不少于1100个，集成全市农用地土壤污染溯源成果及图件档案资料，分县区编制农用地土壤重金属污染溯源报告（包含7县区农用地土壤污染源管控清单），提出全市农用地土壤污染源管控建议及编制整治方案。</w:t>
            </w:r>
          </w:p>
          <w:p>
            <w:pPr>
              <w:pStyle w:val="null3"/>
              <w:ind w:left="90" w:right="90" w:firstLine="320"/>
            </w:pPr>
            <w:r>
              <w:rPr>
                <w:rFonts w:ascii="仿宋_GB2312" w:hAnsi="仿宋_GB2312" w:cs="仿宋_GB2312" w:eastAsia="仿宋_GB2312"/>
                <w:sz w:val="16"/>
              </w:rPr>
              <w:t>具体服务内容详见下表：</w:t>
            </w:r>
          </w:p>
          <w:tbl>
            <w:tblPr>
              <w:tblInd w:type="dxa" w:w="135"/>
              <w:tblBorders>
                <w:top w:val="none" w:color="000000" w:sz="4"/>
                <w:left w:val="none" w:color="000000" w:sz="4"/>
                <w:bottom w:val="none" w:color="000000" w:sz="4"/>
                <w:right w:val="none" w:color="000000" w:sz="4"/>
                <w:insideH w:val="none"/>
                <w:insideV w:val="none"/>
              </w:tblBorders>
            </w:tblPr>
            <w:tblGrid>
              <w:gridCol w:w="226"/>
              <w:gridCol w:w="448"/>
              <w:gridCol w:w="340"/>
              <w:gridCol w:w="1021"/>
              <w:gridCol w:w="504"/>
            </w:tblGrid>
            <w:tr>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工作内容</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p>
                  <w:pPr>
                    <w:pStyle w:val="null3"/>
                    <w:jc w:val="center"/>
                  </w:pPr>
                  <w:r>
                    <w:rPr>
                      <w:rFonts w:ascii="仿宋_GB2312" w:hAnsi="仿宋_GB2312" w:cs="仿宋_GB2312" w:eastAsia="仿宋_GB2312"/>
                      <w:sz w:val="21"/>
                      <w:b/>
                    </w:rPr>
                    <w:t>（个）</w:t>
                  </w:r>
                </w:p>
              </w:tc>
              <w:tc>
                <w:tcPr>
                  <w:tcW w:type="dxa" w:w="10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工作</w:t>
                  </w:r>
                  <w:r>
                    <w:rPr>
                      <w:rFonts w:ascii="仿宋_GB2312" w:hAnsi="仿宋_GB2312" w:cs="仿宋_GB2312" w:eastAsia="仿宋_GB2312"/>
                      <w:sz w:val="21"/>
                      <w:b/>
                    </w:rPr>
                    <w:t>明细</w:t>
                  </w:r>
                </w:p>
              </w:tc>
              <w:tc>
                <w:tcPr>
                  <w:tcW w:type="dxa" w:w="5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2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4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基础资料、历史遥感影像、无人机影像</w:t>
                  </w:r>
                  <w:r>
                    <w:rPr>
                      <w:rFonts w:ascii="仿宋_GB2312" w:hAnsi="仿宋_GB2312" w:cs="仿宋_GB2312" w:eastAsia="仿宋_GB2312"/>
                      <w:sz w:val="16"/>
                      <w:color w:val="000000"/>
                    </w:rPr>
                    <w:t>等</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w:t>
                  </w: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收集商洛市</w:t>
                  </w:r>
                  <w:r>
                    <w:rPr>
                      <w:rFonts w:ascii="仿宋_GB2312" w:hAnsi="仿宋_GB2312" w:cs="仿宋_GB2312" w:eastAsia="仿宋_GB2312"/>
                      <w:sz w:val="16"/>
                      <w:color w:val="000000"/>
                    </w:rPr>
                    <w:t>7个区县自然环境资料、调查和监测数据、耕地周边污染源信息、土地利用历史及现状、灌溉情况、农业种植情况等资料数据。购买7个区县数字地形图、地表覆被类型数据、气象资料等。</w:t>
                  </w:r>
                </w:p>
              </w:tc>
              <w:tc>
                <w:tcPr>
                  <w:tcW w:type="dxa" w:w="5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6"/>
                  <w:vMerge/>
                  <w:tcBorders>
                    <w:top w:val="none" w:color="000000" w:sz="4"/>
                    <w:left w:val="single" w:color="000000" w:sz="4"/>
                    <w:bottom w:val="single" w:color="000000" w:sz="4"/>
                    <w:right w:val="single" w:color="000000" w:sz="4"/>
                  </w:tcBorders>
                </w:tcPr>
                <w:p/>
              </w:tc>
              <w:tc>
                <w:tcPr>
                  <w:tcW w:type="dxa" w:w="448"/>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w:t>
                  </w: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购买</w:t>
                  </w:r>
                  <w:r>
                    <w:rPr>
                      <w:rFonts w:ascii="仿宋_GB2312" w:hAnsi="仿宋_GB2312" w:cs="仿宋_GB2312" w:eastAsia="仿宋_GB2312"/>
                      <w:sz w:val="16"/>
                      <w:color w:val="000000"/>
                    </w:rPr>
                    <w:t>7个区县高分辨卫星遥感影像数据。历史遥感数据与最新遥感数据解译比对和图像特征分析获得空间、面积、形态等属性信息。识别受污染耕地周边污染源分布情况，重点识别历史矿产开采区域及废渣堆存。</w:t>
                  </w:r>
                </w:p>
              </w:tc>
              <w:tc>
                <w:tcPr>
                  <w:tcW w:type="dxa" w:w="504"/>
                  <w:vMerge/>
                  <w:tcBorders>
                    <w:top w:val="none" w:color="000000" w:sz="4"/>
                    <w:left w:val="single" w:color="000000" w:sz="4"/>
                    <w:bottom w:val="single" w:color="000000" w:sz="4"/>
                    <w:right w:val="single" w:color="000000" w:sz="4"/>
                  </w:tcBorders>
                </w:tcPr>
                <w:p/>
              </w:tc>
            </w:tr>
            <w:tr>
              <w:tc>
                <w:tcPr>
                  <w:tcW w:type="dxa" w:w="226"/>
                  <w:vMerge/>
                  <w:tcBorders>
                    <w:top w:val="none" w:color="000000" w:sz="4"/>
                    <w:left w:val="single" w:color="000000" w:sz="4"/>
                    <w:bottom w:val="single" w:color="000000" w:sz="4"/>
                    <w:right w:val="single" w:color="000000" w:sz="4"/>
                  </w:tcBorders>
                </w:tcPr>
                <w:p/>
              </w:tc>
              <w:tc>
                <w:tcPr>
                  <w:tcW w:type="dxa" w:w="448"/>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w:t>
                  </w: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结合受污染耕地分布、遥感数据制定详细飞行计划，进行无人机遥感监测识别污染途径和污染分布。</w:t>
                  </w:r>
                </w:p>
              </w:tc>
              <w:tc>
                <w:tcPr>
                  <w:tcW w:type="dxa" w:w="504"/>
                  <w:vMerge/>
                  <w:tcBorders>
                    <w:top w:val="none" w:color="000000" w:sz="4"/>
                    <w:left w:val="single" w:color="000000" w:sz="4"/>
                    <w:bottom w:val="single" w:color="000000" w:sz="4"/>
                    <w:right w:val="single" w:color="000000" w:sz="4"/>
                  </w:tcBorders>
                </w:tc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资料分析、</w:t>
                  </w:r>
                  <w:r>
                    <w:rPr>
                      <w:rFonts w:ascii="仿宋_GB2312" w:hAnsi="仿宋_GB2312" w:cs="仿宋_GB2312" w:eastAsia="仿宋_GB2312"/>
                      <w:sz w:val="16"/>
                      <w:color w:val="000000"/>
                    </w:rPr>
                    <w:t>污染成因定性判断、监测布点方案编制</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采用</w:t>
                  </w:r>
                  <w:r>
                    <w:rPr>
                      <w:rFonts w:ascii="仿宋_GB2312" w:hAnsi="仿宋_GB2312" w:cs="仿宋_GB2312" w:eastAsia="仿宋_GB2312"/>
                      <w:sz w:val="16"/>
                      <w:color w:val="000000"/>
                    </w:rPr>
                    <w:t>ArcGIS 等软件，分析受污染耕地、地表水系及潜在污染源等空间分布情况，制作相关图件和表册确定污染成因，并编制成因定性判断成果。结合受污染耕地分布情况，编制监测方案，明确监测点位、监测因子等。</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样品采集</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1100</w:t>
                  </w: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本项目样品采集类型包含大气沉降、灌溉水、底泥、农业投入品、畜禽粪污、土壤、农产品、地表径流、地下渗滤及作物移除（秸秆、籽粒）等，涉及的样品采集数量</w:t>
                  </w:r>
                  <w:r>
                    <w:rPr>
                      <w:rFonts w:ascii="仿宋_GB2312" w:hAnsi="仿宋_GB2312" w:cs="仿宋_GB2312" w:eastAsia="仿宋_GB2312"/>
                      <w:sz w:val="16"/>
                      <w:color w:val="000000"/>
                    </w:rPr>
                    <w:t>≥1100个。</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样品分析测试</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1100</w:t>
                  </w: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本项目样品分析测试指标为</w:t>
                  </w:r>
                  <w:r>
                    <w:rPr>
                      <w:rFonts w:ascii="仿宋_GB2312" w:hAnsi="仿宋_GB2312" w:cs="仿宋_GB2312" w:eastAsia="仿宋_GB2312"/>
                      <w:sz w:val="16"/>
                      <w:color w:val="000000"/>
                    </w:rPr>
                    <w:t>pH、镉、汞、砷、铅、铬、铜、锌、镍等共计9项，涉及的样品分析测试数量≥1100个，监测数据量约10000余个。</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5</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质量控制措施</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110</w:t>
                  </w: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质量控制平行样按不少于总样品数量</w:t>
                  </w:r>
                  <w:r>
                    <w:rPr>
                      <w:rFonts w:ascii="仿宋_GB2312" w:hAnsi="仿宋_GB2312" w:cs="仿宋_GB2312" w:eastAsia="仿宋_GB2312"/>
                      <w:sz w:val="16"/>
                    </w:rPr>
                    <w:t>10%计，即≥1100*10%=110个样品。包含样品采集、分析测试。</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w:t>
                  </w:r>
                </w:p>
              </w:tc>
              <w:tc>
                <w:tcPr>
                  <w:tcW w:type="dxa" w:w="4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耕地土壤重金属污染成因排查与分析报告、重金属污染源管控方案</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w:t>
                  </w: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根据《耕地土壤重金属污染成因排查工作指南（试行）》等规范要求，本项目拟先编制</w:t>
                  </w:r>
                  <w:r>
                    <w:rPr>
                      <w:rFonts w:ascii="仿宋_GB2312" w:hAnsi="仿宋_GB2312" w:cs="仿宋_GB2312" w:eastAsia="仿宋_GB2312"/>
                      <w:sz w:val="16"/>
                      <w:color w:val="000000"/>
                    </w:rPr>
                    <w:t>71个调查区的耕地重金属污染成因排查与分析报告，分区域成果编制完成后，对商洛市全域耕地重金属污染成因排查结果进行综合分析，形成《商洛市耕地土壤重金属污染成因排查研究报告》，预期成果 1 项，包括7个区县调查报告和 1 个总报告，共计8份报告。</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6"/>
                  <w:vMerge/>
                  <w:tcBorders>
                    <w:top w:val="none" w:color="000000" w:sz="4"/>
                    <w:left w:val="single" w:color="000000" w:sz="4"/>
                    <w:bottom w:val="single" w:color="000000" w:sz="4"/>
                    <w:right w:val="single" w:color="000000" w:sz="4"/>
                  </w:tcBorders>
                </w:tcPr>
                <w:p/>
              </w:tc>
              <w:tc>
                <w:tcPr>
                  <w:tcW w:type="dxa" w:w="448"/>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根据</w:t>
                  </w:r>
                  <w:r>
                    <w:rPr>
                      <w:rFonts w:ascii="仿宋_GB2312" w:hAnsi="仿宋_GB2312" w:cs="仿宋_GB2312" w:eastAsia="仿宋_GB2312"/>
                      <w:sz w:val="16"/>
                      <w:color w:val="000000"/>
                    </w:rPr>
                    <w:t>71个调查区重金属污染成因排查与分析成果，编制污染源管控清单，在此基础上形成《商洛市耕地土壤重金属污染源管控方案》1 项，预期成果包括 1份污染源管控清单和 1份管控方案。</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专家评审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10</w:t>
                  </w: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项目涉及商洛市</w:t>
                  </w:r>
                  <w:r>
                    <w:rPr>
                      <w:rFonts w:ascii="仿宋_GB2312" w:hAnsi="仿宋_GB2312" w:cs="仿宋_GB2312" w:eastAsia="仿宋_GB2312"/>
                      <w:sz w:val="16"/>
                    </w:rPr>
                    <w:t>7个区县，区县级成因排查报告评审各1次，市级、省级评审各1次，管控清单和管控方案市级评审1次，合计评审次数10次。</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打印、装订</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128</w:t>
                  </w: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7个区县县级成果报告初稿10本，终稿6本，合计112本。市级污染源管控清单和管控方案报告初稿10本，终稿6本，合计16本。共计1</w:t>
                  </w:r>
                  <w:r>
                    <w:rPr>
                      <w:rFonts w:ascii="仿宋_GB2312" w:hAnsi="仿宋_GB2312" w:cs="仿宋_GB2312" w:eastAsia="仿宋_GB2312"/>
                      <w:sz w:val="16"/>
                    </w:rPr>
                    <w:t>2</w:t>
                  </w:r>
                  <w:r>
                    <w:rPr>
                      <w:rFonts w:ascii="仿宋_GB2312" w:hAnsi="仿宋_GB2312" w:cs="仿宋_GB2312" w:eastAsia="仿宋_GB2312"/>
                      <w:sz w:val="16"/>
                    </w:rPr>
                    <w:t>8本。</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本项目顺利实施，投标人应针对本项目有合理的人员配置管理计划，选派技术全面、责任心强的相关专业技术人员承担本项目工作。根据本项目要求，供应商须配备至少6名专业技术人员，各专业岗位人员不得兼任。要求搭配合理、职能健全，岗位分工明确、职责清晰，须满足本项目采购需求。合同签订后安排专门人员与采购人对接，提交实施方案并经采购人批准后实施；供应商服务团队工作人员须实地开展工作，保证工作的准确性、客观性和科学性。投标人在项目实施过程中不得擅自更换项目团队成员，确需更换的，需向采购人提出申请，经采购人同意方可调整，更换后的人员资质及项目经验等不得低于更换之前。在项目实施过程中，根据实施情况及采购人指令，中标人须及时增配相关岗位人员，以满足项目实施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提供具有履行本合同所必需的设备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1、质量标准：严格按照《耕地土壤重金属污染成因排查指南》要求执行，符合国家法律法规的相关规定、行业标准及技术规范，并通过商洛市生态环境局组织的评估验收。 2、成果要求：（1）形成商洛市各区县及市级耕地土壤重金属污染成因排查报告及图件各一份；编制商洛市受污染耕地土壤重金属污染源管控清单各一份；提出耕地污染源管控建议及整治方案。采购人如有特殊数量要求的，可在具体项目委托时或实际需要时另行约定或提出。 （2）投标人须对项目有深入理解，根据国家法律法规和行业规范要求，按期保质保量提交服务成果。提交的各类成果必须符合国家法律法规的相关规定、行业标准及技术规范，并通过商洛市生态环境局组织的评估验收。 3、保密要求： 投标人须严格按照《中华人民共和国保守国家秘密法》《中华人民共和国保守国家秘密法实施办法》等以及数据建设相关法律法规及管理文件的要求，对项目实施过程及实施过程中获取的所有相关数据、信息、资料、研究成果等材料保密，未经采购人书面允许，不得以任意形式传播或泄露相关信息。投标人须建立严格完善的保密制度，加强对项目工作人员的保密管理及保密知识教育。 4、知识产权归属要求： 本项目所涉及的服务成果知识产权归商洛市生态环境局所有，未经采购人同意不得对外提供。 5、安全要求：本项目自签订政府采购合同之日起，中标人将负责该项目实施过程相应的人身安全、财产安全、环境安全，因本项目实施过程造成的直接或间接损失，其相应责任由中标人自行承担。 6、对于采购内容中未尽事宜，投标人应满足现行相关规范、要求、标准及合同约定进行服务，并应与采购人及时沟通，确保服务顺利开展。投标文件没有采购人不能接受的条件。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服务期限1年：自合同签订之日起至2025年11月30日前提交成果文件，之后提供配合服务。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方法：按照双方合同约定的研究内容和有关要求，采购人将严格按照《财政部关于进一步加强政府采购需求和履约验收管理的指导意见》（财库〔2016〕205号）等相关法律法规、技术标准与规范流程组织评审验收。 验收标准：按采购文件要求、中标人的投标文件及承诺、签订的合同、国家及行业相关规范标准进行。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取得中标通知书并签订合同后支付预付款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提交项目技术成果并通过验收后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依据《中华人民共和国民法典》《中华人民共和国政府采购法》的相关条款和本合同约定，中标供应商未全面履行合同义务或者发生违约的，采购单位会同采购代理机构有权终止合同，依法向中标供应商进行经济索赔，并报请政府采购监督管理机关进行相应的行政处罚。采购单位违约的，应当赔偿给中标供应商造成的经济损失。 合同争议的解决：合同执行中发生争议的，当事人双方应协商解决，协商达不成一致时，可向采购人住所地有管辖权的人民法院提起诉讼。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人未按合同要求提供服务，采购人有权终止（或解除）合同，并对中标人违约行为进行追究。2、合同价款：合同总价一次性包死，不受市场价格变化因素的影响。除本合同总金额外，采购人不再支付任何其他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证明文件</w:t>
            </w:r>
          </w:p>
        </w:tc>
        <w:tc>
          <w:tcPr>
            <w:tcW w:type="dxa" w:w="3322"/>
          </w:tcPr>
          <w:p>
            <w:pPr>
              <w:pStyle w:val="null3"/>
            </w:pPr>
            <w:r>
              <w:rPr>
                <w:rFonts w:ascii="仿宋_GB2312" w:hAnsi="仿宋_GB2312" w:cs="仿宋_GB2312" w:eastAsia="仿宋_GB2312"/>
              </w:rPr>
              <w:t>具有独立承担民事责任能力的法人或其他组织，提供营业执照或其他组织合法有效的证明文件。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提供2023或2024年度经审计的财务会计报告（至少包括审计报告、资产负债表和利润表）,或开标前三个月内其基本开户银行出具的资信证明；或政府采购信用担保机构出具的投标担保函。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 6 个月内已缴纳的至少一个月的有效纳税凭证，依法免税的应提供相关证明文件。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 6 个月内已缴存的至少一个月的有效缴存单据或社保机构开具的社会保险参保缴费情况证明，依法不需要缴纳社会保障资金的应提供相关证明文件。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检验检测机构资质认定证书</w:t>
            </w:r>
          </w:p>
        </w:tc>
        <w:tc>
          <w:tcPr>
            <w:tcW w:type="dxa" w:w="3322"/>
          </w:tcPr>
          <w:p>
            <w:pPr>
              <w:pStyle w:val="null3"/>
            </w:pPr>
            <w:r>
              <w:rPr>
                <w:rFonts w:ascii="仿宋_GB2312" w:hAnsi="仿宋_GB2312" w:cs="仿宋_GB2312" w:eastAsia="仿宋_GB2312"/>
              </w:rPr>
              <w:t>供应商须具备市场监督管理部门颁发的合法有效的《检验检测机构资质认定证书》（CMA证书）。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拟派项目负责人须具备环境类或检验类相关专业高级及以上职称，并提供社保证明。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履行本合同所必需的设备和专业技术能力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法定代表人直接参与投标时须提供法人身份证明书及身份证复印件并加盖公章；被授权人参与投标时须提供法定代表人授权委托书（附法定代表人及被委托人身份证复印件并加盖公章）。</w:t>
            </w:r>
          </w:p>
        </w:tc>
        <w:tc>
          <w:tcPr>
            <w:tcW w:type="dxa" w:w="1661"/>
          </w:tcPr>
          <w:p>
            <w:pPr>
              <w:pStyle w:val="null3"/>
            </w:pPr>
            <w:r>
              <w:rPr>
                <w:rFonts w:ascii="仿宋_GB2312" w:hAnsi="仿宋_GB2312" w:cs="仿宋_GB2312" w:eastAsia="仿宋_GB2312"/>
              </w:rPr>
              <w:t>法定代表人证明书、法人授权委托书 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供应商不得在“信用中国”网站（www.creditchina.gov.cn）中被列入重大税收违法失信主体的当事人，不得在“中国执行信息公开网”（http://zxgk.court.gov.cn）网站中被列为失信被执行人，不得为“中国政府采购网”（www.ccgp.gov.cn）政府采购严重违法失信行为记录名单中被财政部门禁止参加政府采购活动的供应商（附网站查询截图）。</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1、报价唯一；2、报价货币符合招标文件要求; 3、未超出招标文件规定的最高限价。</w:t>
            </w:r>
          </w:p>
        </w:tc>
        <w:tc>
          <w:tcPr>
            <w:tcW w:type="dxa" w:w="1661"/>
          </w:tcPr>
          <w:p>
            <w:pPr>
              <w:pStyle w:val="null3"/>
            </w:pPr>
            <w:r>
              <w:rPr>
                <w:rFonts w:ascii="仿宋_GB2312" w:hAnsi="仿宋_GB2312" w:cs="仿宋_GB2312" w:eastAsia="仿宋_GB2312"/>
              </w:rPr>
              <w:t>分项报价表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与所投项目名称、项目编号一致，且符合招标文件签署盖章要求。</w:t>
            </w:r>
          </w:p>
        </w:tc>
        <w:tc>
          <w:tcPr>
            <w:tcW w:type="dxa" w:w="1661"/>
          </w:tcPr>
          <w:p>
            <w:pPr>
              <w:pStyle w:val="null3"/>
            </w:pPr>
            <w:r>
              <w:rPr>
                <w:rFonts w:ascii="仿宋_GB2312" w:hAnsi="仿宋_GB2312" w:cs="仿宋_GB2312" w:eastAsia="仿宋_GB2312"/>
              </w:rPr>
              <w:t>投标保证金 服务内容及服务邀请应答表 分项报价表 中小企业声明函 商务应答表 投标人应提交的相关资格证明材料 法定代表人证明书、法人授权委托书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符合“第6章“响应文件格式”要求</w:t>
            </w:r>
          </w:p>
        </w:tc>
        <w:tc>
          <w:tcPr>
            <w:tcW w:type="dxa" w:w="1661"/>
          </w:tcPr>
          <w:p>
            <w:pPr>
              <w:pStyle w:val="null3"/>
            </w:pPr>
            <w:r>
              <w:rPr>
                <w:rFonts w:ascii="仿宋_GB2312" w:hAnsi="仿宋_GB2312" w:cs="仿宋_GB2312" w:eastAsia="仿宋_GB2312"/>
              </w:rPr>
              <w:t>投标保证金 服务内容及服务邀请应答表 分项报价表 中小企业声明函 商务应答表 投标人应提交的相关资格证明材料 法定代表人证明书、法人授权委托书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投标文件内容须清晰辨认、齐全、无遗漏。</w:t>
            </w:r>
          </w:p>
        </w:tc>
        <w:tc>
          <w:tcPr>
            <w:tcW w:type="dxa" w:w="1661"/>
          </w:tcPr>
          <w:p>
            <w:pPr>
              <w:pStyle w:val="null3"/>
            </w:pPr>
            <w:r>
              <w:rPr>
                <w:rFonts w:ascii="仿宋_GB2312" w:hAnsi="仿宋_GB2312" w:cs="仿宋_GB2312" w:eastAsia="仿宋_GB2312"/>
              </w:rPr>
              <w:t>投标保证金 服务内容及服务邀请应答表 分项报价表 中小企业声明函 商务应答表 投标人应提交的相关资格证明材料 法定代表人证明书、法人授权委托书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要求全面响应，不能有缺项、漏项和任何采购人不能接受的附加条件。</w:t>
            </w:r>
          </w:p>
        </w:tc>
        <w:tc>
          <w:tcPr>
            <w:tcW w:type="dxa" w:w="1661"/>
          </w:tcPr>
          <w:p>
            <w:pPr>
              <w:pStyle w:val="null3"/>
            </w:pPr>
            <w:r>
              <w:rPr>
                <w:rFonts w:ascii="仿宋_GB2312" w:hAnsi="仿宋_GB2312" w:cs="仿宋_GB2312" w:eastAsia="仿宋_GB2312"/>
              </w:rPr>
              <w:t>投标保证金 服务内容及服务邀请应答表 分项报价表 中小企业声明函 商务应答表 投标人应提交的相关资格证明材料 法定代表人证明书、法人授权委托书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保证金按照招标文件要求足额缴纳，并提供保证金缴存凭证或保函。</w:t>
            </w:r>
          </w:p>
        </w:tc>
        <w:tc>
          <w:tcPr>
            <w:tcW w:type="dxa" w:w="1661"/>
          </w:tcPr>
          <w:p>
            <w:pPr>
              <w:pStyle w:val="null3"/>
            </w:pPr>
            <w:r>
              <w:rPr>
                <w:rFonts w:ascii="仿宋_GB2312" w:hAnsi="仿宋_GB2312" w:cs="仿宋_GB2312" w:eastAsia="仿宋_GB2312"/>
              </w:rPr>
              <w:t>投标保证金</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未出现不符合法律、法规和招标文件中规定的其他实质性要求，否则投标文件作无效处理。</w:t>
            </w:r>
          </w:p>
        </w:tc>
        <w:tc>
          <w:tcPr>
            <w:tcW w:type="dxa" w:w="1661"/>
          </w:tcPr>
          <w:p>
            <w:pPr>
              <w:pStyle w:val="null3"/>
            </w:pPr>
            <w:r>
              <w:rPr>
                <w:rFonts w:ascii="仿宋_GB2312" w:hAnsi="仿宋_GB2312" w:cs="仿宋_GB2312" w:eastAsia="仿宋_GB2312"/>
              </w:rPr>
              <w:t>投标保证金 服务内容及服务邀请应答表 分项报价表 中小企业声明函 商务应答表 投标人应提交的相关资格证明材料 法定代表人证明书、法人授权委托书 投标函 残疾人福利性单位声明函 服务方案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项目理解、重难点分析及解决方案</w:t>
            </w:r>
          </w:p>
        </w:tc>
        <w:tc>
          <w:tcPr>
            <w:tcW w:type="dxa" w:w="2492"/>
          </w:tcPr>
          <w:p>
            <w:pPr>
              <w:pStyle w:val="null3"/>
            </w:pPr>
            <w:r>
              <w:rPr>
                <w:rFonts w:ascii="仿宋_GB2312" w:hAnsi="仿宋_GB2312" w:cs="仿宋_GB2312" w:eastAsia="仿宋_GB2312"/>
              </w:rPr>
              <w:t>根据供应商对本项目任务要求的理解深度和对国家相关领域政策、标准的掌握程度，对本项目难点、重点技术问题分析和论述进行综合评比。内容完整、全面、详细、合理可行的得6-10分；内容基本完整，描述不够详细、较薄弱的得3-6分；内容有严重欠缺、薄弱的得1-3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供应商应充分理解项目背景和内容，根据项目实际情况提供总体实施方案。总体实施方案内容包括但不限于项目认识、实施计划、投入设备和技术工具、工作程序、成果交付等。要求总体思路清晰，内容全面，符合项目需求，各项措施与本项目实际联系紧密，具体可行到位，各环节安排有序，重点突出、技术建议叙述全面、合理、可操作性强。评标委员会根据上述内容进行综合评比。内容完整、全面、详细、合理可行的得16-20分；内容基本完整，描述不够详细、较薄弱的得8-16分；内容有严重欠缺、薄弱的得1-8分；未提供的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根据供应商对本项目的质量保证措施进行综合评比。项目质量保证措施应明确组织保障、技术保障、质量保障等内容，合理、完整、全面、可行，满足采购需求。内容完整、全面、详细可行的得6-10分；内容基本完整，描述不够详细、较薄弱的得3-6分；内容有严重欠缺、薄弱的得1-3分；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进度计划安排及保证措施</w:t>
            </w:r>
          </w:p>
        </w:tc>
        <w:tc>
          <w:tcPr>
            <w:tcW w:type="dxa" w:w="2492"/>
          </w:tcPr>
          <w:p>
            <w:pPr>
              <w:pStyle w:val="null3"/>
            </w:pPr>
            <w:r>
              <w:rPr>
                <w:rFonts w:ascii="仿宋_GB2312" w:hAnsi="仿宋_GB2312" w:cs="仿宋_GB2312" w:eastAsia="仿宋_GB2312"/>
              </w:rPr>
              <w:t>根据供应商对本项目实施进度计划安排及保证措施进行综合评比。项目进度计划安排及保证措施应合理、完整、全面、可行，满足采购需求。内容完整、全面、详细可行的得6-10分；内容基本完整，描述不够详细、较薄弱的得3-6分；内容有严重欠缺、薄弱的得1-3分；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1、根据供应商针对本项目是否有完备的组织构架，各项管理制度是否齐全（保密制度、档案管理制度、设备管理制度、安全管理制度、沟通协调机制等），管理是否符合项目特点且详尽可行，人员配备是否齐全（根据本项目要求，供应商须配备至少6名专业技术人员），分工是否合理、职责划分是否明确，内控机制是否完善等进行综合评定。组织机构设置合理、制度健全、人员配备齐全、职责划分明确，专业性强的得6-10分；组织机构设置较合理、制度较健全、人员配备一般、职责划分较明确、专业性一般得3-6分；组织机构设置存在明显缺陷、制度体系不完善、人员配备缺口明显、整体专业性较弱的得1-3分；未提供不得分。本项最高得10分。 2、项目团队成员（除项目负责人外）具备环境类或检验类相关专业中级及以上职称的，每提供1人得1分，同一人具有多个证书不可累计，只作1名计。本项最高得5分。（供应商须提供人员相关信息证明材料复印件并加盖公章，否则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供应商针对本项目须提供应急措施，确保在发生紧急事件及其他问题时，能够及时、有效的解决问题，保证项目顺利进行，能在发生紧急事件及其他问题时提供详细的有效补救措施。根据供应商提供的针对突发特殊情况应急保障措施进行综合评比。内容完整、全面、详细、合理可行的得3-5分；内容基本完整，描述不够详细、较薄弱的得1.5-3分；内容有严重欠缺、薄弱的得0.5-1.5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2022年1月1日至今每提供一份类似业绩得2分，最多得10分。以投标文件中所附业绩合同或中标通知书复印件或扫描件加盖公章为准。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服务保障及合理化建议</w:t>
            </w:r>
          </w:p>
        </w:tc>
        <w:tc>
          <w:tcPr>
            <w:tcW w:type="dxa" w:w="2492"/>
          </w:tcPr>
          <w:p>
            <w:pPr>
              <w:pStyle w:val="null3"/>
            </w:pPr>
            <w:r>
              <w:rPr>
                <w:rFonts w:ascii="仿宋_GB2312" w:hAnsi="仿宋_GB2312" w:cs="仿宋_GB2312" w:eastAsia="仿宋_GB2312"/>
              </w:rPr>
              <w:t>1、供应商须确保项目能按时按质完成，提供相应服务承诺和保证措施。承诺及措施科学合理，可实施性较强计3-5分；承诺及措施基本满足项目需求计1.5-3分；承诺及措施简单，不利于项目实施的计0.5-1.5分；未提供不计分。本项最高得5分。 2、针对本项目提供其他合理化建议及意见，且针对本项目的伴随服务及服务要求，有详细的服务承诺。承诺及建议科学合理，可实施性较强计3-5分；承诺及建议基本满足项目需求计1.5-3分；承诺及建议简单，不利于项目实施的计0.5-1.5分；未提供不计分。本项最高得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1.经初审合格的投标文件，其投标报价为有效报价。 2.满足招标文件实质性要求且最终报价最低的供应商的价格为基准价，其价格分为满分10分。 3.报价得分=（基准价/最终投标报价）×10的公式计算得分。 4.报价不完整的，不进入评标标准价的计算，本项得0分。 5.经评标小组一致认定，供应商的最终报价低于公认市场成本，或超过采购预算,其投标将被拒绝。</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详见附件：投标保证金</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详见附件：法定代表人证明书、法人授权委托书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详见附件：采购合同样本.docx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