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9E99C2">
      <w:pPr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0"/>
          <w:szCs w:val="4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0"/>
          <w:szCs w:val="40"/>
          <w:lang w:val="en-US" w:eastAsia="zh-CN" w:bidi="ar"/>
        </w:rPr>
        <w:t>财务审计报告</w:t>
      </w:r>
    </w:p>
    <w:p w14:paraId="540BE175"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说明：供应商应提供健全的财务会计制度的证明材料：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提供2024年度经审计的供应商财务报告（包括 “四表一注”即《资产负债表》《利润表》《现金流量表》《所有者权益变动表》及其附注）或者提供投标文件递交截止时间3个月内其基本账户开户银行出具的资信证明。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7D5E8D"/>
    <w:rsid w:val="2F7D5E8D"/>
    <w:rsid w:val="6C79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2025-09-24T03:18:00Z</dcterms:created>
  <dc:creator>双 双 </dc:creator>
  <cp:lastModifiedBy>双 双 </cp:lastModifiedBy>
  <dcterms:modified xsi:type="dcterms:W3CDTF">2025-09-24T03:27:23Z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DB221C8EAD794F2E9AB8052EDA066D5E_13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