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版本号：GRHZDW招标字FW202509-000120250925001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《商洛市国民经济和社会发展第十五个五年规划纲要》编制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GRHZDW招标字FW202509-0001</w:t>
      </w:r>
      <w:r>
        <w:br/>
      </w:r>
      <w:r>
        <w:br/>
      </w:r>
      <w:r>
        <w:br/>
      </w:r>
    </w:p>
    <w:p>
      <w:pPr>
        <w:pStyle w:val="null3"/>
        <w:jc w:val="center"/>
        <w:outlineLvl w:val="2"/>
      </w:pPr>
      <w:r>
        <w:rPr>
          <w:rFonts w:ascii="仿宋_GB2312" w:hAnsi="仿宋_GB2312" w:cs="仿宋_GB2312" w:eastAsia="仿宋_GB2312"/>
          <w:sz w:val="28"/>
          <w:b/>
        </w:rPr>
        <w:t>商洛市发展和改革委员会</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商洛市发展和改革委员会</w:t>
      </w:r>
      <w:r>
        <w:rPr>
          <w:rFonts w:ascii="仿宋_GB2312" w:hAnsi="仿宋_GB2312" w:cs="仿宋_GB2312" w:eastAsia="仿宋_GB2312"/>
        </w:rPr>
        <w:t>委托，拟对</w:t>
      </w:r>
      <w:r>
        <w:rPr>
          <w:rFonts w:ascii="仿宋_GB2312" w:hAnsi="仿宋_GB2312" w:cs="仿宋_GB2312" w:eastAsia="仿宋_GB2312"/>
        </w:rPr>
        <w:t>《商洛市国民经济和社会发展第十五个五年规划纲要》编制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GRHZDW招标字FW202509-0001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《商洛市国民经济和社会发展第十五个五年规划纲要》编制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商洛市国民经济和社会发展第十五个五年规划基本思路研究及规划纲要编制服务。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采购包1（《商洛市国民经济和社会发展第十五个五年规划纲要》编制）：属于专门面向中小企业采购。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良好的商业信誉和健全的财务会计制度：供应商须提供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p>
      <w:pPr>
        <w:pStyle w:val="null3"/>
      </w:pPr>
      <w:r>
        <w:rPr>
          <w:rFonts w:ascii="仿宋_GB2312" w:hAnsi="仿宋_GB2312" w:cs="仿宋_GB2312" w:eastAsia="仿宋_GB2312"/>
        </w:rPr>
        <w:t>3、有依法缴纳税收的良好记录：提供磋商截止时间前一年内已缴纳的至少一个月纳税证明或完税证明，依法免税的单位应提供相关证明材料</w:t>
      </w:r>
    </w:p>
    <w:p>
      <w:pPr>
        <w:pStyle w:val="null3"/>
      </w:pPr>
      <w:r>
        <w:rPr>
          <w:rFonts w:ascii="仿宋_GB2312" w:hAnsi="仿宋_GB2312" w:cs="仿宋_GB2312" w:eastAsia="仿宋_GB2312"/>
        </w:rPr>
        <w:t>4、有依法社会保障资金的良好记录：提供磋商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信用信息：供应商未被列入信用中国网站(www.creditchina.gov.cn)“失信被执行人、重大税收违法案件当事人名单”；不处于中国政府采购(www.ccgp.gov.cn)“政府采购严重违法失信行为信息记录”中的禁止参加政府采购活动期间</w:t>
      </w:r>
    </w:p>
    <w:p>
      <w:pPr>
        <w:pStyle w:val="null3"/>
      </w:pPr>
      <w:r>
        <w:rPr>
          <w:rFonts w:ascii="仿宋_GB2312" w:hAnsi="仿宋_GB2312" w:cs="仿宋_GB2312" w:eastAsia="仿宋_GB2312"/>
        </w:rPr>
        <w:t>8、法定代表人授权书/法人身份证：法定代表人授权书（附法定代表人、被授权人身份证复印件）及被授权人身份证（法定代表人参加投标只需提供本人身份证）</w:t>
      </w:r>
    </w:p>
    <w:p>
      <w:pPr>
        <w:pStyle w:val="null3"/>
      </w:pPr>
      <w:r>
        <w:rPr>
          <w:rFonts w:ascii="仿宋_GB2312" w:hAnsi="仿宋_GB2312" w:cs="仿宋_GB2312" w:eastAsia="仿宋_GB2312"/>
        </w:rPr>
        <w:t>9、控股管理关系：单位负责人为同一人或者存在直接控股、管理关系的不同单位，不得参加同一项下的政府采购活动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商洛市商州区名人街26号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商洛市发展和改革委员会经办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0914-2369855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梁思源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15129028932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按照国家计委颁布《招标代理服务收费管理暂行办法》（计价格[2002]1980号）和国家发展和改革委员会办公厅颁发的《关于招标代理服务收费有关问题的通知》（发改办价格[2003]857号）文件规定执行，不足8千的按8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商洛市发展和改革委员会</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联系人：梁思源</w:t>
      </w:r>
    </w:p>
    <w:p>
      <w:pPr>
        <w:pStyle w:val="null3"/>
      </w:pPr>
      <w:r>
        <w:rPr>
          <w:rFonts w:ascii="仿宋_GB2312" w:hAnsi="仿宋_GB2312" w:cs="仿宋_GB2312" w:eastAsia="仿宋_GB2312"/>
        </w:rPr>
        <w:t>联系电话：15129028932</w:t>
      </w:r>
    </w:p>
    <w:p>
      <w:pPr>
        <w:pStyle w:val="null3"/>
      </w:pPr>
      <w:r>
        <w:rPr>
          <w:rFonts w:ascii="仿宋_GB2312" w:hAnsi="仿宋_GB2312" w:cs="仿宋_GB2312" w:eastAsia="仿宋_GB2312"/>
        </w:rPr>
        <w:t>地址：陕西省西安市雁塔区科技一路万象汇 CROSS 6 幢 1 单元 7 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商洛市国民经济和社会发展第十五个五年规划基本思路研究及规划纲要编制服务。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《商洛市国民经济和社会发展第十五个五年规划纲要》编制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标的名称：《商洛市国民经济和社会发展第十五个五年规划纲要》编制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b/>
              </w:rPr>
              <w:t>一、项目概况</w:t>
            </w:r>
          </w:p>
          <w:p>
            <w:pPr>
              <w:pStyle w:val="null3"/>
              <w:ind w:firstLine="480"/>
            </w:pPr>
            <w:r>
              <w:rPr>
                <w:rFonts w:ascii="仿宋_GB2312" w:hAnsi="仿宋_GB2312" w:cs="仿宋_GB2312" w:eastAsia="仿宋_GB2312"/>
                <w:sz w:val="20"/>
              </w:rPr>
              <w:t>商洛市国民经济和社会发展第十五个五年规划基本思路研究及规划纲要编制服务。</w:t>
            </w:r>
          </w:p>
          <w:p>
            <w:pPr>
              <w:pStyle w:val="null3"/>
            </w:pPr>
            <w:r>
              <w:rPr>
                <w:rFonts w:ascii="仿宋_GB2312" w:hAnsi="仿宋_GB2312" w:cs="仿宋_GB2312" w:eastAsia="仿宋_GB2312"/>
                <w:sz w:val="20"/>
                <w:b/>
              </w:rPr>
              <w:t>二、服务内容</w:t>
            </w:r>
          </w:p>
          <w:p>
            <w:pPr>
              <w:pStyle w:val="null3"/>
              <w:ind w:firstLine="480"/>
            </w:pPr>
            <w:r>
              <w:rPr>
                <w:rFonts w:ascii="仿宋_GB2312" w:hAnsi="仿宋_GB2312" w:cs="仿宋_GB2312" w:eastAsia="仿宋_GB2312"/>
                <w:sz w:val="20"/>
              </w:rPr>
              <w:t>供应商需在服务期限内，按照采购人要求的时间节点和主题内容，编制形成商洛市国民经济和社会发展第十五个五年规划基本思路研究及规划纲要。</w:t>
            </w:r>
          </w:p>
          <w:p>
            <w:pPr>
              <w:pStyle w:val="null3"/>
              <w:ind w:firstLine="400"/>
            </w:pPr>
            <w:r>
              <w:rPr>
                <w:rFonts w:ascii="仿宋_GB2312" w:hAnsi="仿宋_GB2312" w:cs="仿宋_GB2312" w:eastAsia="仿宋_GB2312"/>
                <w:sz w:val="20"/>
              </w:rPr>
              <w:t>1.开展实地调研，全面了解商洛市经济社会发展瓶颈和短板。</w:t>
            </w:r>
          </w:p>
          <w:p>
            <w:pPr>
              <w:pStyle w:val="null3"/>
              <w:ind w:firstLine="400"/>
            </w:pPr>
            <w:r>
              <w:rPr>
                <w:rFonts w:ascii="仿宋_GB2312" w:hAnsi="仿宋_GB2312" w:cs="仿宋_GB2312" w:eastAsia="仿宋_GB2312"/>
                <w:sz w:val="20"/>
              </w:rPr>
              <w:t>2.开展商洛市"十五五”规划前期基本思路研究，提出商洛市“十五五”时期经济社会发展的战略定位、发展目标，以及未来五年发展的主攻方向、重点任务。</w:t>
            </w:r>
          </w:p>
          <w:p>
            <w:pPr>
              <w:pStyle w:val="null3"/>
            </w:pPr>
            <w:r>
              <w:rPr>
                <w:rFonts w:ascii="仿宋_GB2312" w:hAnsi="仿宋_GB2312" w:cs="仿宋_GB2312" w:eastAsia="仿宋_GB2312"/>
                <w:sz w:val="20"/>
              </w:rPr>
              <w:t xml:space="preserve">      3.供应商应按采购人要求持续修改完善“十五五”规划《纲要(草案)》，并与中省“十五五”规划纲要和商洛市国土空间规划等相衔接，达到上市人代会审议标准。</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 xml:space="preserve"> 4.编制商洛市“十五五”规划纲要文本，并通过市人代会审议。</w:t>
            </w:r>
          </w:p>
          <w:p>
            <w:pPr>
              <w:pStyle w:val="null3"/>
            </w:pPr>
            <w:r>
              <w:rPr>
                <w:rFonts w:ascii="仿宋_GB2312" w:hAnsi="仿宋_GB2312" w:cs="仿宋_GB2312" w:eastAsia="仿宋_GB2312"/>
                <w:sz w:val="20"/>
                <w:b/>
              </w:rPr>
              <w:t>三、服务要求</w:t>
            </w:r>
          </w:p>
          <w:p>
            <w:pPr>
              <w:pStyle w:val="null3"/>
              <w:ind w:firstLine="480"/>
            </w:pPr>
            <w:r>
              <w:rPr>
                <w:rFonts w:ascii="仿宋_GB2312" w:hAnsi="仿宋_GB2312" w:cs="仿宋_GB2312" w:eastAsia="仿宋_GB2312"/>
                <w:sz w:val="20"/>
              </w:rPr>
              <w:t>1.编制内容要求</w:t>
            </w:r>
          </w:p>
          <w:p>
            <w:pPr>
              <w:pStyle w:val="null3"/>
              <w:ind w:firstLine="480"/>
            </w:pPr>
            <w:r>
              <w:rPr>
                <w:rFonts w:ascii="仿宋_GB2312" w:hAnsi="仿宋_GB2312" w:cs="仿宋_GB2312" w:eastAsia="仿宋_GB2312"/>
                <w:sz w:val="20"/>
              </w:rPr>
              <w:t>（1）供应商须明确提出其工作模式和成果提交的时间节点安排。</w:t>
            </w:r>
          </w:p>
          <w:p>
            <w:pPr>
              <w:pStyle w:val="null3"/>
              <w:ind w:firstLine="480"/>
            </w:pPr>
            <w:r>
              <w:rPr>
                <w:rFonts w:ascii="仿宋_GB2312" w:hAnsi="仿宋_GB2312" w:cs="仿宋_GB2312" w:eastAsia="仿宋_GB2312"/>
                <w:sz w:val="20"/>
              </w:rPr>
              <w:t>（2）遵循下级规划服从上级规划原则，与国家、省市发展规划相衔接。</w:t>
            </w:r>
          </w:p>
          <w:p>
            <w:pPr>
              <w:pStyle w:val="null3"/>
              <w:ind w:firstLine="480"/>
            </w:pPr>
            <w:r>
              <w:rPr>
                <w:rFonts w:ascii="仿宋_GB2312" w:hAnsi="仿宋_GB2312" w:cs="仿宋_GB2312" w:eastAsia="仿宋_GB2312"/>
                <w:sz w:val="20"/>
              </w:rPr>
              <w:t>（3）按照“多规融合”要求，与国土空间规划进行统筹、融合。</w:t>
            </w:r>
          </w:p>
          <w:p>
            <w:pPr>
              <w:pStyle w:val="null3"/>
              <w:ind w:firstLine="480"/>
            </w:pPr>
            <w:r>
              <w:rPr>
                <w:rFonts w:ascii="仿宋_GB2312" w:hAnsi="仿宋_GB2312" w:cs="仿宋_GB2312" w:eastAsia="仿宋_GB2312"/>
                <w:sz w:val="20"/>
              </w:rPr>
              <w:t>（4）遵循各版块内容相协调的原则，对各产业规划、专项规划进行统筹、协调。</w:t>
            </w:r>
          </w:p>
          <w:p>
            <w:pPr>
              <w:pStyle w:val="null3"/>
              <w:ind w:firstLine="480"/>
            </w:pPr>
            <w:r>
              <w:rPr>
                <w:rFonts w:ascii="仿宋_GB2312" w:hAnsi="仿宋_GB2312" w:cs="仿宋_GB2312" w:eastAsia="仿宋_GB2312"/>
                <w:sz w:val="20"/>
              </w:rPr>
              <w:t>2.项目实施要求</w:t>
            </w:r>
          </w:p>
          <w:p>
            <w:pPr>
              <w:pStyle w:val="null3"/>
              <w:ind w:firstLine="480"/>
            </w:pPr>
            <w:r>
              <w:rPr>
                <w:rFonts w:ascii="仿宋_GB2312" w:hAnsi="仿宋_GB2312" w:cs="仿宋_GB2312" w:eastAsia="仿宋_GB2312"/>
                <w:sz w:val="20"/>
              </w:rPr>
              <w:t>（1）人员配置方面，供应商须成立专门的人员团队，明确岗位职责。</w:t>
            </w:r>
          </w:p>
          <w:p>
            <w:pPr>
              <w:pStyle w:val="null3"/>
              <w:ind w:firstLine="480"/>
            </w:pPr>
            <w:r>
              <w:rPr>
                <w:rFonts w:ascii="仿宋_GB2312" w:hAnsi="仿宋_GB2312" w:cs="仿宋_GB2312" w:eastAsia="仿宋_GB2312"/>
                <w:sz w:val="20"/>
              </w:rPr>
              <w:t>（2）根据相关标准、规范及采购人的服务要求，保质保量完成工作。</w:t>
            </w:r>
          </w:p>
          <w:p>
            <w:pPr>
              <w:pStyle w:val="null3"/>
              <w:ind w:firstLine="480"/>
            </w:pPr>
            <w:r>
              <w:rPr>
                <w:rFonts w:ascii="仿宋_GB2312" w:hAnsi="仿宋_GB2312" w:cs="仿宋_GB2312" w:eastAsia="仿宋_GB2312"/>
                <w:sz w:val="20"/>
              </w:rPr>
              <w:t>（3）供应商须建立严格的保密制度，并加强对工作人员的保密管理及保密知识教育。</w:t>
            </w:r>
          </w:p>
          <w:p>
            <w:pPr>
              <w:pStyle w:val="null3"/>
            </w:pPr>
            <w:r>
              <w:rPr>
                <w:rFonts w:ascii="仿宋_GB2312" w:hAnsi="仿宋_GB2312" w:cs="仿宋_GB2312" w:eastAsia="仿宋_GB2312"/>
                <w:sz w:val="20"/>
                <w:b/>
              </w:rPr>
              <w:t>四、工作进度要求</w:t>
            </w:r>
          </w:p>
          <w:p>
            <w:pPr>
              <w:pStyle w:val="null3"/>
              <w:ind w:firstLine="480"/>
            </w:pPr>
            <w:r>
              <w:rPr>
                <w:rFonts w:ascii="仿宋_GB2312" w:hAnsi="仿宋_GB2312" w:cs="仿宋_GB2312" w:eastAsia="仿宋_GB2312"/>
                <w:sz w:val="20"/>
              </w:rPr>
              <w:t>（1）供应商应于合同签订后7天内进场开展工作。协助采购人15天内完成基础调查、信息收集等，就“十四五”规划实施情况进行系统梳理与全面评估。</w:t>
            </w:r>
          </w:p>
          <w:p>
            <w:pPr>
              <w:pStyle w:val="null3"/>
              <w:ind w:firstLine="480"/>
            </w:pPr>
            <w:r>
              <w:rPr>
                <w:rFonts w:ascii="仿宋_GB2312" w:hAnsi="仿宋_GB2312" w:cs="仿宋_GB2312" w:eastAsia="仿宋_GB2312"/>
                <w:sz w:val="20"/>
              </w:rPr>
              <w:t>（2）供应商应于完成“十四五”规划实施情况系统梳理与全面评估后30天内，围绕“十五五”主要目标指标、重大战略任务、重大改革举措、重大工程项目等，完成商洛市“十五五”规划《纲要》框架，提交采购方审查。</w:t>
            </w:r>
          </w:p>
          <w:p>
            <w:pPr>
              <w:pStyle w:val="null3"/>
              <w:ind w:firstLine="480"/>
            </w:pPr>
            <w:r>
              <w:rPr>
                <w:rFonts w:ascii="仿宋_GB2312" w:hAnsi="仿宋_GB2312" w:cs="仿宋_GB2312" w:eastAsia="仿宋_GB2312"/>
                <w:sz w:val="20"/>
              </w:rPr>
              <w:t>（3）供应商应于“十五五”规划《纲要》框架审核通过后60天内，研究起草形成商洛市“十五五”规划《纲要（草案）》初稿。</w:t>
            </w:r>
          </w:p>
          <w:p>
            <w:pPr>
              <w:pStyle w:val="null3"/>
              <w:ind w:firstLine="480"/>
            </w:pPr>
            <w:r>
              <w:rPr>
                <w:rFonts w:ascii="仿宋_GB2312" w:hAnsi="仿宋_GB2312" w:cs="仿宋_GB2312" w:eastAsia="仿宋_GB2312"/>
                <w:sz w:val="20"/>
              </w:rPr>
              <w:t>（4）供应商应按采购人要求持续修改完善“十五五”规划《纲要（草案）》，并与国家、省市发展规划相衔接。于《纲要（草案）》初稿提交后60天内修改完善向采购人提交《商洛市国民经济和社会发展“十五五”规划纲要（评审稿）》并组织评审。</w:t>
            </w:r>
          </w:p>
          <w:p>
            <w:pPr>
              <w:pStyle w:val="null3"/>
              <w:ind w:firstLine="480"/>
            </w:pPr>
            <w:r>
              <w:rPr>
                <w:rFonts w:ascii="仿宋_GB2312" w:hAnsi="仿宋_GB2312" w:cs="仿宋_GB2312" w:eastAsia="仿宋_GB2312"/>
                <w:sz w:val="20"/>
              </w:rPr>
              <w:t>（5）编制期间，供应商应及时向采购人汇报规划纲要进展情况。</w:t>
            </w:r>
          </w:p>
          <w:p>
            <w:pPr>
              <w:pStyle w:val="null3"/>
              <w:jc w:val="both"/>
            </w:pPr>
            <w:r>
              <w:rPr>
                <w:rFonts w:ascii="仿宋_GB2312" w:hAnsi="仿宋_GB2312" w:cs="仿宋_GB2312" w:eastAsia="仿宋_GB2312"/>
                <w:sz w:val="20"/>
              </w:rPr>
              <w:t xml:space="preserve">         （6）乙方必须在2025年12月底前，提交“十五五”规划《纲要》定稿，提交市政府常务会议和市委常委会研究；2026年一季度左右，“十五五”规划《纲要草案》提交市人代会审议，印发实施。</w:t>
            </w:r>
          </w:p>
          <w:p>
            <w:pPr>
              <w:pStyle w:val="null3"/>
            </w:pPr>
            <w:r>
              <w:rPr>
                <w:rFonts w:ascii="仿宋_GB2312" w:hAnsi="仿宋_GB2312" w:cs="仿宋_GB2312" w:eastAsia="仿宋_GB2312"/>
                <w:sz w:val="20"/>
                <w:b/>
              </w:rPr>
              <w:t>四、服务期限</w:t>
            </w:r>
          </w:p>
          <w:p>
            <w:pPr>
              <w:pStyle w:val="null3"/>
            </w:pPr>
            <w:r>
              <w:rPr>
                <w:rFonts w:ascii="仿宋_GB2312" w:hAnsi="仿宋_GB2312" w:cs="仿宋_GB2312" w:eastAsia="仿宋_GB2312"/>
              </w:rPr>
              <w:t xml:space="preserve">  </w:t>
            </w:r>
            <w:r>
              <w:rPr>
                <w:rFonts w:ascii="仿宋_GB2312" w:hAnsi="仿宋_GB2312" w:cs="仿宋_GB2312" w:eastAsia="仿宋_GB2312"/>
                <w:sz w:val="20"/>
              </w:rPr>
              <w:t>自合同签订生效之日起，至《规划纲要》经市人大审议通过后终止。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提供能够完成本项目的人员团队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自合同签订生效之日起，至《规划纲要》经市人大审议通过后终止。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乙方提供“十五五”规划纲要初稿后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乙方提供“十五五”规划纲要送审稿且经市人大审议通过后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纸质版文件与电子投标文件不一致由此造成的一切责任及后果由供应商自行承担。纸质版投标文件递交地址：陕西省西安市雁塔区科技一路万象汇 CROSS 6 幢 1 单元 7 层。 3.4.2本项目专门面向中小企业。项目所属行业：其他未列明行业；从业人员300人以下的为中小微型企业。其中，从业人员100人及以上且不超过300人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一、响应函 九、资格证明文件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一、响应函 九、资格证明文件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供应商须提供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提供磋商截止时间前一年内已缴纳的至少一个月纳税证明或完税证明，依法免税的单位应提供相关证明材料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有依法社会保障资金的良好记录</w:t>
            </w:r>
          </w:p>
        </w:tc>
        <w:tc>
          <w:tcPr>
            <w:tcW w:type="dxa" w:w="3322"/>
          </w:tcPr>
          <w:p>
            <w:pPr>
              <w:pStyle w:val="null3"/>
            </w:pPr>
            <w:r>
              <w:rPr>
                <w:rFonts w:ascii="仿宋_GB2312" w:hAnsi="仿宋_GB2312" w:cs="仿宋_GB2312" w:eastAsia="仿宋_GB2312"/>
              </w:rPr>
              <w:t>提供磋商截止时间前一年内已缴存的至少一个月的社会保障资金缴存单据或社保机构开具的社会保险参保缴费情况证明，依法不需要缴纳社会保障资金的单位应提供相关证明材料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供应商未被列入信用中国网站(www.creditchina.gov.cn)“失信被执行人、重大税收违法案件当事人名单”；不处于中国政府采购(www.ccgp.gov.cn)“政府采购严重违法失信行为信息记录”中的禁止参加政府采购活动期间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九、资格证明文件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法定代表人授权书/法人身份证</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w:t>
            </w:r>
          </w:p>
        </w:tc>
        <w:tc>
          <w:tcPr>
            <w:tcW w:type="dxa" w:w="1661"/>
          </w:tcPr>
          <w:p>
            <w:pPr>
              <w:pStyle w:val="null3"/>
            </w:pPr>
            <w:r>
              <w:rPr>
                <w:rFonts w:ascii="仿宋_GB2312" w:hAnsi="仿宋_GB2312" w:cs="仿宋_GB2312" w:eastAsia="仿宋_GB2312"/>
              </w:rPr>
              <w:t>九、资格证明文件 二、法定代表人证明书与法定代表人授权书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w:t>
            </w:r>
          </w:p>
        </w:tc>
        <w:tc>
          <w:tcPr>
            <w:tcW w:type="dxa" w:w="1661"/>
          </w:tcPr>
          <w:p>
            <w:pPr>
              <w:pStyle w:val="null3"/>
            </w:pPr>
            <w:r>
              <w:rPr>
                <w:rFonts w:ascii="仿宋_GB2312" w:hAnsi="仿宋_GB2312" w:cs="仿宋_GB2312" w:eastAsia="仿宋_GB2312"/>
              </w:rPr>
              <w:t>九、资格证明文件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三、报价表 标的清单 四、分项报价表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按磋商文件格式要求，响应文件上法定代表人或其委托代理人的签字或印章齐全并加盖单位公章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六、服务内容及服务邀请应答表 中小企业声明函 三、报价表 四、分项报价表 五、服务方案 响应文件封面 一、响应函 七、商务应答表 残疾人福利性单位声明函 十、其他事项 九、资格证明文件 标的清单 二、法定代表人证明书与法定代表人授权书 八、人员配置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三、报价表 标的清单 四、分项报价表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六、服务内容及服务邀请应答表 七、商务应答表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满足采购文件中服务期的要求</w:t>
            </w:r>
          </w:p>
        </w:tc>
        <w:tc>
          <w:tcPr>
            <w:tcW w:type="dxa" w:w="1661"/>
          </w:tcPr>
          <w:p>
            <w:pPr>
              <w:pStyle w:val="null3"/>
            </w:pPr>
            <w:r>
              <w:rPr>
                <w:rFonts w:ascii="仿宋_GB2312" w:hAnsi="仿宋_GB2312" w:cs="仿宋_GB2312" w:eastAsia="仿宋_GB2312"/>
              </w:rPr>
              <w:t>一、响应函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一、响应函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依据供应商提供的的服务方案，内容包含： ①政策理解与需求分析（6分）：内容完整、可实施、且有针对性得4.1-6分；内容完整、可实施得2.1-4分；方案基本完整得1-2分；未提供不得分； ②编制思路与创新性（6分）：内容完整、可实施、且有针对性得4.1-6分；内容完整、可实施得2.1-4分；方案基本完整得1-2分；未提供不得分； ③工作计划（6分）：内容完整、可实施、且有针对性得4.1-6分；内容完整、可实施得2.1-4分；方案基本完整得1-2分；未提供不得分。 ④进度保障方案（6分）：内容完整、可实施、且有针对性得4.1-6分；内容完整、可实施得2.1-4分；方案基本完整得1-2分；未提供不得分。 ⑤项目重难点分析（6分）：内容完整、可实施、且有针对性得4.1-6分；内容完整、可实施得2.1-4分；方案基本完整得1-2分；未提供不得分。 ⑥服务承诺（6分）：内容完整、可实施、且有针对性得4.1-6分；内容完整、可实施得2.1-4分；方案基本完整得1-2分；未提供不得分。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七、商务应答表</w:t>
            </w:r>
          </w:p>
          <w:p>
            <w:pPr>
              <w:pStyle w:val="null3"/>
            </w:pPr>
            <w:r>
              <w:rPr>
                <w:rFonts w:ascii="仿宋_GB2312" w:hAnsi="仿宋_GB2312" w:cs="仿宋_GB2312" w:eastAsia="仿宋_GB2312"/>
              </w:rPr>
              <w:t>五、服务方案</w:t>
            </w:r>
          </w:p>
        </w:tc>
      </w:tr>
      <w:tr>
        <w:tc>
          <w:tcPr>
            <w:tcW w:type="dxa" w:w="831"/>
            <w:vMerge/>
          </w:tcPr>
          <w:p/>
        </w:tc>
        <w:tc>
          <w:tcPr>
            <w:tcW w:type="dxa" w:w="1661"/>
          </w:tcPr>
          <w:p>
            <w:pPr>
              <w:pStyle w:val="null3"/>
            </w:pPr>
            <w:r>
              <w:rPr>
                <w:rFonts w:ascii="仿宋_GB2312" w:hAnsi="仿宋_GB2312" w:cs="仿宋_GB2312" w:eastAsia="仿宋_GB2312"/>
              </w:rPr>
              <w:t>项目机构及人员配备</w:t>
            </w:r>
          </w:p>
        </w:tc>
        <w:tc>
          <w:tcPr>
            <w:tcW w:type="dxa" w:w="2492"/>
          </w:tcPr>
          <w:p>
            <w:pPr>
              <w:pStyle w:val="null3"/>
            </w:pPr>
            <w:r>
              <w:rPr>
                <w:rFonts w:ascii="仿宋_GB2312" w:hAnsi="仿宋_GB2312" w:cs="仿宋_GB2312" w:eastAsia="仿宋_GB2312"/>
              </w:rPr>
              <w:t>依据供应商提供的项目机构及人员配备评审，内容包含： ①拟投入人员数量、工作经验（7分）：内容完整、可实施、且有针对性得5.1-7分；内容完整、可实施得3.1-5分；方案基本完整得1-3分；未提供不得分。 ②工作人员分工方案（7分）：内容完整、可实施、且有针对性得5.1-7分；内容完整、可实施得3.1-5分；方案基本完整得1-3分；未提供不得分。 ③团队人员管理方案（7分）：内容完整、可实施、且有针对性得5.1-7分；内容完整、可实施得3.1-5分；方案基本完整得1-3分；未提供不得分。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七、商务应答表</w:t>
            </w:r>
          </w:p>
          <w:p>
            <w:pPr>
              <w:pStyle w:val="null3"/>
            </w:pPr>
            <w:r>
              <w:rPr>
                <w:rFonts w:ascii="仿宋_GB2312" w:hAnsi="仿宋_GB2312" w:cs="仿宋_GB2312" w:eastAsia="仿宋_GB2312"/>
              </w:rPr>
              <w:t>五、服务方案</w:t>
            </w:r>
          </w:p>
        </w:tc>
      </w:tr>
      <w:tr>
        <w:tc>
          <w:tcPr>
            <w:tcW w:type="dxa" w:w="831"/>
            <w:vMerge/>
          </w:tcPr>
          <w:p/>
        </w:tc>
        <w:tc>
          <w:tcPr>
            <w:tcW w:type="dxa" w:w="1661"/>
          </w:tcPr>
          <w:p>
            <w:pPr>
              <w:pStyle w:val="null3"/>
            </w:pPr>
            <w:r>
              <w:rPr>
                <w:rFonts w:ascii="仿宋_GB2312" w:hAnsi="仿宋_GB2312" w:cs="仿宋_GB2312" w:eastAsia="仿宋_GB2312"/>
              </w:rPr>
              <w:t>特殊情况、突发情况以及应急保障措施</w:t>
            </w:r>
          </w:p>
        </w:tc>
        <w:tc>
          <w:tcPr>
            <w:tcW w:type="dxa" w:w="2492"/>
          </w:tcPr>
          <w:p>
            <w:pPr>
              <w:pStyle w:val="null3"/>
            </w:pPr>
            <w:r>
              <w:rPr>
                <w:rFonts w:ascii="仿宋_GB2312" w:hAnsi="仿宋_GB2312" w:cs="仿宋_GB2312" w:eastAsia="仿宋_GB2312"/>
              </w:rPr>
              <w:t>依据供应商提供的特殊情况、突发情况以及应急保障措施，内容包含： ①项目实施过程中可能会发生的特殊情况、突发事件（5分）：内容完整、可实施、且有针对性得3.1-5分；内容完整、可实施得2.1-3分；方案基本完整得1分；未提供不得分。 ②应对措施（5分）：内容完整、可实施、且有针对性得3.1-5分；内容完整、可实施得2.1-3分；方案基本完整得1分；未提供不得分。 ③应急响应时间（5分）：内容完整、可实施、且有针对性得3.1-5分；内容完整、可实施得2.1-3分；方案基本完整得1分；未提供不得分。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七、商务应答表</w:t>
            </w:r>
          </w:p>
          <w:p>
            <w:pPr>
              <w:pStyle w:val="null3"/>
            </w:pPr>
            <w:r>
              <w:rPr>
                <w:rFonts w:ascii="仿宋_GB2312" w:hAnsi="仿宋_GB2312" w:cs="仿宋_GB2312" w:eastAsia="仿宋_GB2312"/>
              </w:rPr>
              <w:t>五、服务方案</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依据供应商提供的保密措施、廉洁措施，内容包含： ①保密措施（3分）：内容完整、可实施、且有针对性得2.1-3分；内容基本完整、可实施得1-2分；未提供不得分； ②廉洁措施（3分）：内容完整、可实施、且有针对性得2.1-3分；内容基本完整、可实施得1-2分；未提供不得分；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七、商务应答表</w:t>
            </w:r>
          </w:p>
          <w:p>
            <w:pPr>
              <w:pStyle w:val="null3"/>
            </w:pPr>
            <w:r>
              <w:rPr>
                <w:rFonts w:ascii="仿宋_GB2312" w:hAnsi="仿宋_GB2312" w:cs="仿宋_GB2312" w:eastAsia="仿宋_GB2312"/>
              </w:rPr>
              <w:t>五、服务方案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提供2019年1月1日至今类似项目业绩，提供1份得2分，满分12分。（以合同签订时间为准，提供合同复印件加盖公章）；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七、商务应答表</w:t>
            </w:r>
          </w:p>
          <w:p>
            <w:pPr>
              <w:pStyle w:val="null3"/>
            </w:pPr>
            <w:r>
              <w:rPr>
                <w:rFonts w:ascii="仿宋_GB2312" w:hAnsi="仿宋_GB2312" w:cs="仿宋_GB2312" w:eastAsia="仿宋_GB2312"/>
              </w:rPr>
              <w:t>五、服务方案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详见附件：一、响应函</w:t>
      </w:r>
    </w:p>
    <w:p>
      <w:pPr>
        <w:pStyle w:val="null3"/>
        <w:ind w:firstLine="960"/>
      </w:pPr>
      <w:r>
        <w:rPr>
          <w:rFonts w:ascii="仿宋_GB2312" w:hAnsi="仿宋_GB2312" w:cs="仿宋_GB2312" w:eastAsia="仿宋_GB2312"/>
        </w:rPr>
        <w:t>详见附件：二、法定代表人证明书与法定代表人授权书</w:t>
      </w:r>
    </w:p>
    <w:p>
      <w:pPr>
        <w:pStyle w:val="null3"/>
        <w:ind w:firstLine="960"/>
      </w:pPr>
      <w:r>
        <w:rPr>
          <w:rFonts w:ascii="仿宋_GB2312" w:hAnsi="仿宋_GB2312" w:cs="仿宋_GB2312" w:eastAsia="仿宋_GB2312"/>
        </w:rPr>
        <w:t>详见附件：三、报价表</w:t>
      </w:r>
    </w:p>
    <w:p>
      <w:pPr>
        <w:pStyle w:val="null3"/>
        <w:ind w:firstLine="960"/>
      </w:pPr>
      <w:r>
        <w:rPr>
          <w:rFonts w:ascii="仿宋_GB2312" w:hAnsi="仿宋_GB2312" w:cs="仿宋_GB2312" w:eastAsia="仿宋_GB2312"/>
        </w:rPr>
        <w:t>详见附件：四、分项报价表</w:t>
      </w:r>
    </w:p>
    <w:p>
      <w:pPr>
        <w:pStyle w:val="null3"/>
        <w:ind w:firstLine="960"/>
      </w:pPr>
      <w:r>
        <w:rPr>
          <w:rFonts w:ascii="仿宋_GB2312" w:hAnsi="仿宋_GB2312" w:cs="仿宋_GB2312" w:eastAsia="仿宋_GB2312"/>
        </w:rPr>
        <w:t>详见附件：五、服务方案</w:t>
      </w:r>
    </w:p>
    <w:p>
      <w:pPr>
        <w:pStyle w:val="null3"/>
        <w:ind w:firstLine="960"/>
      </w:pPr>
      <w:r>
        <w:rPr>
          <w:rFonts w:ascii="仿宋_GB2312" w:hAnsi="仿宋_GB2312" w:cs="仿宋_GB2312" w:eastAsia="仿宋_GB2312"/>
        </w:rPr>
        <w:t>详见附件：六、服务内容及服务邀请应答表</w:t>
      </w:r>
    </w:p>
    <w:p>
      <w:pPr>
        <w:pStyle w:val="null3"/>
        <w:ind w:firstLine="960"/>
      </w:pPr>
      <w:r>
        <w:rPr>
          <w:rFonts w:ascii="仿宋_GB2312" w:hAnsi="仿宋_GB2312" w:cs="仿宋_GB2312" w:eastAsia="仿宋_GB2312"/>
        </w:rPr>
        <w:t>详见附件：七、商务应答表</w:t>
      </w:r>
    </w:p>
    <w:p>
      <w:pPr>
        <w:pStyle w:val="null3"/>
        <w:ind w:firstLine="960"/>
      </w:pPr>
      <w:r>
        <w:rPr>
          <w:rFonts w:ascii="仿宋_GB2312" w:hAnsi="仿宋_GB2312" w:cs="仿宋_GB2312" w:eastAsia="仿宋_GB2312"/>
        </w:rPr>
        <w:t>详见附件：八、人员配置</w:t>
      </w:r>
    </w:p>
    <w:p>
      <w:pPr>
        <w:pStyle w:val="null3"/>
        <w:ind w:firstLine="960"/>
      </w:pPr>
      <w:r>
        <w:rPr>
          <w:rFonts w:ascii="仿宋_GB2312" w:hAnsi="仿宋_GB2312" w:cs="仿宋_GB2312" w:eastAsia="仿宋_GB2312"/>
        </w:rPr>
        <w:t>详见附件：九、资格证明文件</w:t>
      </w:r>
    </w:p>
    <w:p>
      <w:pPr>
        <w:pStyle w:val="null3"/>
        <w:ind w:firstLine="960"/>
      </w:pPr>
      <w:r>
        <w:rPr>
          <w:rFonts w:ascii="仿宋_GB2312" w:hAnsi="仿宋_GB2312" w:cs="仿宋_GB2312" w:eastAsia="仿宋_GB2312"/>
        </w:rPr>
        <w:t>详见附件：十、其他事项</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详见附件：商洛市国民经济和社会发展第十五个五年规划纲要编制项目委托合同书.docx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