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版本号：SLCG-ZB〔2025〕3号20250930001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移动警务通信息化服务合作采购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SLCG-ZB〔2025〕3号</w:t>
      </w:r>
      <w:r>
        <w:br/>
      </w:r>
      <w:r>
        <w:br/>
      </w:r>
      <w:r>
        <w:br/>
      </w:r>
    </w:p>
    <w:p>
      <w:pPr>
        <w:pStyle w:val="null3"/>
        <w:jc w:val="center"/>
        <w:outlineLvl w:val="2"/>
      </w:pPr>
      <w:r>
        <w:rPr>
          <w:rFonts w:ascii="仿宋_GB2312" w:hAnsi="仿宋_GB2312" w:cs="仿宋_GB2312" w:eastAsia="仿宋_GB2312"/>
          <w:sz w:val="28"/>
          <w:b/>
        </w:rPr>
        <w:t>商洛市公安局</w:t>
      </w:r>
    </w:p>
    <w:p>
      <w:pPr>
        <w:pStyle w:val="null3"/>
        <w:jc w:val="center"/>
        <w:outlineLvl w:val="2"/>
      </w:pPr>
      <w:r>
        <w:rPr>
          <w:rFonts w:ascii="仿宋_GB2312" w:hAnsi="仿宋_GB2312" w:cs="仿宋_GB2312" w:eastAsia="仿宋_GB2312"/>
          <w:sz w:val="28"/>
          <w:b/>
        </w:rPr>
        <w:t>商洛市政府采购中心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商洛市政府采购中心</w:t>
      </w:r>
      <w:r>
        <w:rPr>
          <w:rFonts w:ascii="仿宋_GB2312" w:hAnsi="仿宋_GB2312" w:cs="仿宋_GB2312" w:eastAsia="仿宋_GB2312"/>
        </w:rPr>
        <w:t>（以下简称“代理机构”）受</w:t>
      </w:r>
      <w:r>
        <w:rPr>
          <w:rFonts w:ascii="仿宋_GB2312" w:hAnsi="仿宋_GB2312" w:cs="仿宋_GB2312" w:eastAsia="仿宋_GB2312"/>
        </w:rPr>
        <w:t>商洛市公安局</w:t>
      </w:r>
      <w:r>
        <w:rPr>
          <w:rFonts w:ascii="仿宋_GB2312" w:hAnsi="仿宋_GB2312" w:cs="仿宋_GB2312" w:eastAsia="仿宋_GB2312"/>
        </w:rPr>
        <w:t>委托，拟对</w:t>
      </w:r>
      <w:r>
        <w:rPr>
          <w:rFonts w:ascii="仿宋_GB2312" w:hAnsi="仿宋_GB2312" w:cs="仿宋_GB2312" w:eastAsia="仿宋_GB2312"/>
        </w:rPr>
        <w:t>移动警务通信息化服务合作采购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SLCG-ZB〔2025〕3号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移动警务通信息化服务合作采购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商洛市公安局移动警务通信息化服务合作采购项目，是为满足新形势下商洛市公安局机关民警开展移动办公、移动执法、即时通信、指挥调度等场景需求的移动警务应用和提供技术支撑、服务保障的采购项目。该项目属基础电信服务项目，总预算2,104,092元，服务期限2年。</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合法有效：供应商须在中华人民共和国境内注册，依法取得并有效存续的营业执照（或事业单位法人证书/民办非企业单位登记证书/非企业专业服务机构执业许可证等主体资格证书）。供应商须在项目电子化采购系统中提交主体资格证书（根据企业类型、性质选择其一）原件的扫描件，并完成电子签章。</w:t>
      </w:r>
    </w:p>
    <w:p>
      <w:pPr>
        <w:pStyle w:val="null3"/>
      </w:pPr>
      <w:r>
        <w:rPr>
          <w:rFonts w:ascii="仿宋_GB2312" w:hAnsi="仿宋_GB2312" w:cs="仿宋_GB2312" w:eastAsia="仿宋_GB2312"/>
        </w:rPr>
        <w:t>2、具有良好的财务状况：供应商须具有良好的财务状况，并须在项目电子化交易系统中提交具有良好财务状况的承诺函，且承诺财务状况良好，并完成电子签章。</w:t>
      </w:r>
    </w:p>
    <w:p>
      <w:pPr>
        <w:pStyle w:val="null3"/>
      </w:pPr>
      <w:r>
        <w:rPr>
          <w:rFonts w:ascii="仿宋_GB2312" w:hAnsi="仿宋_GB2312" w:cs="仿宋_GB2312" w:eastAsia="仿宋_GB2312"/>
        </w:rPr>
        <w:t>3、具有良好的税收缴纳记录：供应商须具有良好的税收缴纳记录，并须在项目电子化交易系统中提交具有良好税收缴纳记录的承诺函，且承诺税收缴纳记录良好，并完成电子签章。</w:t>
      </w:r>
    </w:p>
    <w:p>
      <w:pPr>
        <w:pStyle w:val="null3"/>
      </w:pPr>
      <w:r>
        <w:rPr>
          <w:rFonts w:ascii="仿宋_GB2312" w:hAnsi="仿宋_GB2312" w:cs="仿宋_GB2312" w:eastAsia="仿宋_GB2312"/>
        </w:rPr>
        <w:t>4、具有良好的社会保障资金缴纳记录：供应商须具有良好的社会保障资金缴纳记录，并须在项目电子化交易系统中提交具有良好的社会保障资金缴纳记录的承诺函，且承诺社会保障资金缴纳记录良好，并完成电子签章。</w:t>
      </w:r>
    </w:p>
    <w:p>
      <w:pPr>
        <w:pStyle w:val="null3"/>
      </w:pPr>
      <w:r>
        <w:rPr>
          <w:rFonts w:ascii="仿宋_GB2312" w:hAnsi="仿宋_GB2312" w:cs="仿宋_GB2312" w:eastAsia="仿宋_GB2312"/>
        </w:rPr>
        <w:t>5、近三年内在经营活动中无重大违法记录：供应商近三年内在经营活动中须无重大违法记录，并须在项目电子化交易系统中提交近三年内在经营活动中无重大违法记录声明函，且近三年内在经营活动中无重大违法记录，并完成电子签章。</w:t>
      </w:r>
    </w:p>
    <w:p>
      <w:pPr>
        <w:pStyle w:val="null3"/>
      </w:pPr>
      <w:r>
        <w:rPr>
          <w:rFonts w:ascii="仿宋_GB2312" w:hAnsi="仿宋_GB2312" w:cs="仿宋_GB2312" w:eastAsia="仿宋_GB2312"/>
        </w:rPr>
        <w:t>6、法定代表人（负责人）授权书合法有效：供应商法定代表人(负责人)授权书合法有效，法定代表人（负责人）直接参加投标的须提供本人身份证、法定代表人(负责人)身份证明书，法定代表人(负责人)授权代表参加投标的须提供法定代表人(负责人)授权书、被授权人身份证。供应商须在项目电子化交易系统中提交法定代表人(负责人)身份证、法定代表人(负责人)身份证明书或法定代表人(负责人)授权书、被授权人身份证原件的扫描件，并完成电子签章</w:t>
      </w:r>
    </w:p>
    <w:p>
      <w:pPr>
        <w:pStyle w:val="null3"/>
      </w:pPr>
      <w:r>
        <w:rPr>
          <w:rFonts w:ascii="仿宋_GB2312" w:hAnsi="仿宋_GB2312" w:cs="仿宋_GB2312" w:eastAsia="仿宋_GB2312"/>
        </w:rPr>
        <w:t>7、单位负责人为同一人或者存在直接控股、管理关系的不同供应商，不得同时参加本项目同一合同项下政府采购活动：单位负责人为同一人或者存在直接控股、管理关系的不同供应商，不得同时参加本项目同一合同项下政府采购活动。供应商须在项目电子化交易系统中提交“单位负责人为同一人或者存在直接控股、管理关系的不同供应商，不得同时参加本项目同一合同项下的政府采购活动的承诺书”原件的扫描件，并完成电子签章。</w:t>
      </w:r>
    </w:p>
    <w:p>
      <w:pPr>
        <w:pStyle w:val="null3"/>
      </w:pPr>
      <w:r>
        <w:rPr>
          <w:rFonts w:ascii="仿宋_GB2312" w:hAnsi="仿宋_GB2312" w:cs="仿宋_GB2312" w:eastAsia="仿宋_GB2312"/>
        </w:rPr>
        <w:t>8、非联合体不分包响应声明：本项目不接受联合体投标，供应商须以一个独立的法人实体参加投标。供应商须在项目电子化交易系统中提交“非联合体不分包投标声明函”原件的扫描件，并完成电子签章。</w:t>
      </w:r>
    </w:p>
    <w:p>
      <w:pPr>
        <w:pStyle w:val="null3"/>
      </w:pPr>
      <w:r>
        <w:rPr>
          <w:rFonts w:ascii="仿宋_GB2312" w:hAnsi="仿宋_GB2312" w:cs="仿宋_GB2312" w:eastAsia="仿宋_GB2312"/>
        </w:rPr>
        <w:t>9、信用记录查询证明：供应商未被信用中国网站（http://www.creditchina.gov.cn）列入信用记录失信被执行人、重大税收违法案件当事人名单，未被中国政府采购网（http://www.ccgp.gov.cn）列为政府采购严重违法失信行为记录名单、未被禁止参加政府采购活动。供应商须在项目电子化交易系统中提交在信用中国网站、中国政府采购网的信用记录查询截图（标注查询日期），并完成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商洛市公安局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陕西省商洛市商州区南秦路1号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商洛市公安局经办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18165080618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商洛市政府采购中心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陕西省商洛市商州区商州区工农路12号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王秀娟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0914-2318823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采购包1：2,104,092.00元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没有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没有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没有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商洛市公安局</w:t>
      </w:r>
      <w:r>
        <w:rPr>
          <w:rFonts w:ascii="仿宋_GB2312" w:hAnsi="仿宋_GB2312" w:cs="仿宋_GB2312" w:eastAsia="仿宋_GB2312"/>
        </w:rPr>
        <w:t>和</w:t>
      </w:r>
      <w:r>
        <w:rPr>
          <w:rFonts w:ascii="仿宋_GB2312" w:hAnsi="仿宋_GB2312" w:cs="仿宋_GB2312" w:eastAsia="仿宋_GB2312"/>
        </w:rPr>
        <w:t>商洛市政府采购中心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商洛市公安局</w:t>
      </w:r>
      <w:r>
        <w:rPr>
          <w:rFonts w:ascii="仿宋_GB2312" w:hAnsi="仿宋_GB2312" w:cs="仿宋_GB2312" w:eastAsia="仿宋_GB2312"/>
        </w:rPr>
        <w:t>负责解释。除上述招标文件内容，其他内容由</w:t>
      </w:r>
      <w:r>
        <w:rPr>
          <w:rFonts w:ascii="仿宋_GB2312" w:hAnsi="仿宋_GB2312" w:cs="仿宋_GB2312" w:eastAsia="仿宋_GB2312"/>
        </w:rPr>
        <w:t>商洛市政府采购中心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商洛市公安局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商洛市政府采购中心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国家或者行业相应的标准和本合同规定进行验收。项目供货调试到位，达到使用条件时，由乙方出具验收申请，经甲方同意，由甲方组织乙方和有关技术专家组成验收小组对项目进行完工验收；验收合格的，交接项目实施的全部资料，并填写政府采购项目验收报告单。</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商洛市公安局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商洛市政府采购中心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商洛市政府采购中心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联系人：王秀娟</w:t>
      </w:r>
    </w:p>
    <w:p>
      <w:pPr>
        <w:pStyle w:val="null3"/>
      </w:pPr>
      <w:r>
        <w:rPr>
          <w:rFonts w:ascii="仿宋_GB2312" w:hAnsi="仿宋_GB2312" w:cs="仿宋_GB2312" w:eastAsia="仿宋_GB2312"/>
        </w:rPr>
        <w:t>联系电话：0914-2318823</w:t>
      </w:r>
    </w:p>
    <w:p>
      <w:pPr>
        <w:pStyle w:val="null3"/>
      </w:pPr>
      <w:r>
        <w:rPr>
          <w:rFonts w:ascii="仿宋_GB2312" w:hAnsi="仿宋_GB2312" w:cs="仿宋_GB2312" w:eastAsia="仿宋_GB2312"/>
        </w:rPr>
        <w:t>地址：商洛市商州区工农路12号</w:t>
      </w:r>
    </w:p>
    <w:p>
      <w:pPr>
        <w:pStyle w:val="null3"/>
      </w:pPr>
      <w:r>
        <w:rPr>
          <w:rFonts w:ascii="仿宋_GB2312" w:hAnsi="仿宋_GB2312" w:cs="仿宋_GB2312" w:eastAsia="仿宋_GB2312"/>
        </w:rPr>
        <w:t>邮编：726000</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联系人：南冲</w:t>
      </w:r>
    </w:p>
    <w:p>
      <w:pPr>
        <w:pStyle w:val="null3"/>
      </w:pPr>
      <w:r>
        <w:rPr>
          <w:rFonts w:ascii="仿宋_GB2312" w:hAnsi="仿宋_GB2312" w:cs="仿宋_GB2312" w:eastAsia="仿宋_GB2312"/>
        </w:rPr>
        <w:t>联系电话：18165080618</w:t>
      </w:r>
    </w:p>
    <w:p>
      <w:pPr>
        <w:pStyle w:val="null3"/>
      </w:pPr>
      <w:r>
        <w:rPr>
          <w:rFonts w:ascii="仿宋_GB2312" w:hAnsi="仿宋_GB2312" w:cs="仿宋_GB2312" w:eastAsia="仿宋_GB2312"/>
        </w:rPr>
        <w:t>地址：商洛市商州区南秦路1号</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商洛市公安局移动警务通信息化服务合作采购项目，是为满足新形势下商洛市公安局机关民警开展移动办公、移动执法、即时通信、指挥调度等场景需求的移动警务应用和提供技术支撑、服务保障的采购项目。该项目属基础电信服务项目，总预算2,104,092元，服务期限2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2,104,092.00</w:t>
      </w:r>
    </w:p>
    <w:p>
      <w:pPr>
        <w:pStyle w:val="null3"/>
      </w:pPr>
      <w:r>
        <w:rPr>
          <w:rFonts w:ascii="仿宋_GB2312" w:hAnsi="仿宋_GB2312" w:cs="仿宋_GB2312" w:eastAsia="仿宋_GB2312"/>
        </w:rPr>
        <w:t>采购包最高限价（元）: 2,104,092.00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商洛市公安局移动警务通信息化服务合作采购项目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2,104,092.00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标的名称：商洛市公安局移动警务通信息化服务合作采购项目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color w:val="333333"/>
              </w:rPr>
              <w:t>一、移动警务服务：</w:t>
            </w:r>
          </w:p>
          <w:p>
            <w:pPr>
              <w:pStyle w:val="null3"/>
              <w:jc w:val="both"/>
            </w:pPr>
            <w:r>
              <w:rPr>
                <w:rFonts w:ascii="仿宋_GB2312" w:hAnsi="仿宋_GB2312" w:cs="仿宋_GB2312" w:eastAsia="仿宋_GB2312"/>
                <w:sz w:val="24"/>
                <w:color w:val="000000"/>
              </w:rPr>
              <w:t>1、定位导航：仅限北斗（</w:t>
            </w:r>
            <w:r>
              <w:rPr>
                <w:rFonts w:ascii="仿宋_GB2312" w:hAnsi="仿宋_GB2312" w:cs="仿宋_GB2312" w:eastAsia="仿宋_GB2312"/>
                <w:sz w:val="24"/>
                <w:color w:val="000000"/>
              </w:rPr>
              <w:t>B1I+B1C+B2a三频）</w:t>
            </w:r>
          </w:p>
          <w:p>
            <w:pPr>
              <w:pStyle w:val="null3"/>
              <w:jc w:val="both"/>
            </w:pPr>
            <w:r>
              <w:rPr>
                <w:rFonts w:ascii="仿宋_GB2312" w:hAnsi="仿宋_GB2312" w:cs="仿宋_GB2312" w:eastAsia="仿宋_GB2312"/>
                <w:sz w:val="24"/>
                <w:b/>
                <w:color w:val="333333"/>
              </w:rPr>
              <w:t>二、系统对接服务：</w:t>
            </w:r>
          </w:p>
          <w:p>
            <w:pPr>
              <w:pStyle w:val="null3"/>
              <w:jc w:val="both"/>
            </w:pPr>
            <w:r>
              <w:rPr>
                <w:rFonts w:ascii="仿宋_GB2312" w:hAnsi="仿宋_GB2312" w:cs="仿宋_GB2312" w:eastAsia="仿宋_GB2312"/>
                <w:sz w:val="24"/>
                <w:color w:val="000000"/>
              </w:rPr>
              <w:t>1.提供符合省公安厅要求的4G/5G等无线网络标准接入服务，移动警务终端需通过入选《陕西省公安机关移动警务终端适配目录》。</w:t>
            </w:r>
          </w:p>
          <w:p>
            <w:pPr>
              <w:pStyle w:val="null3"/>
              <w:jc w:val="left"/>
            </w:pPr>
            <w:r>
              <w:rPr>
                <w:rFonts w:ascii="仿宋_GB2312" w:hAnsi="仿宋_GB2312" w:cs="仿宋_GB2312" w:eastAsia="仿宋_GB2312"/>
                <w:sz w:val="24"/>
                <w:color w:val="000000"/>
              </w:rPr>
              <w:t>2.提供符合公安部、省公安厅要求的终端安全监控组件服务。在服务期内警务通数据须适配和预装陕西省公安厅移动终端省厅指定软件，不可卸载。</w:t>
            </w:r>
          </w:p>
          <w:p>
            <w:pPr>
              <w:pStyle w:val="null3"/>
              <w:jc w:val="left"/>
            </w:pPr>
            <w:r>
              <w:rPr>
                <w:rFonts w:ascii="仿宋_GB2312" w:hAnsi="仿宋_GB2312" w:cs="仿宋_GB2312" w:eastAsia="仿宋_GB2312"/>
                <w:sz w:val="24"/>
                <w:color w:val="000000"/>
              </w:rPr>
              <w:t>3.保障采购人提供的现有用户号码继续作为警务通号码保持不变服务。</w:t>
            </w:r>
          </w:p>
          <w:p>
            <w:pPr>
              <w:pStyle w:val="null3"/>
              <w:jc w:val="both"/>
            </w:pPr>
            <w:r>
              <w:rPr>
                <w:rFonts w:ascii="仿宋_GB2312" w:hAnsi="仿宋_GB2312" w:cs="仿宋_GB2312" w:eastAsia="仿宋_GB2312"/>
                <w:sz w:val="24"/>
                <w:b/>
                <w:color w:val="333333"/>
              </w:rPr>
              <w:t>三、售后服务：</w:t>
            </w:r>
          </w:p>
          <w:p>
            <w:pPr>
              <w:pStyle w:val="null3"/>
              <w:jc w:val="both"/>
            </w:pPr>
            <w:r>
              <w:rPr>
                <w:rFonts w:ascii="仿宋_GB2312" w:hAnsi="仿宋_GB2312" w:cs="仿宋_GB2312" w:eastAsia="仿宋_GB2312"/>
                <w:sz w:val="24"/>
                <w:color w:val="000000"/>
              </w:rPr>
              <w:t>1.现场派驻服务。派驻≥1人，在合同服务期间内派驻人员到采购人单位开展硬件维护、软件升级、日常运维管理等工作，派驻人员派驻期间接受采购单位日常管理。</w:t>
            </w:r>
          </w:p>
          <w:p>
            <w:pPr>
              <w:pStyle w:val="null3"/>
              <w:jc w:val="both"/>
            </w:pPr>
            <w:r>
              <w:rPr>
                <w:rFonts w:ascii="仿宋_GB2312" w:hAnsi="仿宋_GB2312" w:cs="仿宋_GB2312" w:eastAsia="仿宋_GB2312"/>
                <w:sz w:val="24"/>
                <w:color w:val="000000"/>
              </w:rPr>
              <w:t>2. 提供不少于1.5%的备用机交由采购单位管理，确保24小时内更换故障设备。</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105" w:after="105"/>
              <w:jc w:val="both"/>
            </w:pPr>
            <w:r>
              <w:rPr>
                <w:rFonts w:ascii="仿宋_GB2312" w:hAnsi="仿宋_GB2312" w:cs="仿宋_GB2312" w:eastAsia="仿宋_GB2312"/>
                <w:sz w:val="24"/>
                <w:b/>
              </w:rPr>
              <w:t>一、基础通信服务（</w:t>
            </w:r>
            <w:r>
              <w:rPr>
                <w:rFonts w:ascii="仿宋_GB2312" w:hAnsi="仿宋_GB2312" w:cs="仿宋_GB2312" w:eastAsia="仿宋_GB2312"/>
                <w:sz w:val="24"/>
                <w:b/>
              </w:rPr>
              <w:t>警务系统通信服务）：</w:t>
            </w:r>
          </w:p>
          <w:p>
            <w:pPr>
              <w:pStyle w:val="null3"/>
              <w:spacing w:before="105" w:after="105"/>
              <w:jc w:val="both"/>
            </w:pPr>
            <w:r>
              <w:rPr>
                <w:rFonts w:ascii="仿宋_GB2312" w:hAnsi="仿宋_GB2312" w:cs="仿宋_GB2312" w:eastAsia="仿宋_GB2312"/>
                <w:sz w:val="24"/>
              </w:rPr>
              <w:t>1、每月提供</w:t>
            </w:r>
            <w:r>
              <w:rPr>
                <w:rFonts w:ascii="仿宋_GB2312" w:hAnsi="仿宋_GB2312" w:cs="仿宋_GB2312" w:eastAsia="仿宋_GB2312"/>
                <w:sz w:val="24"/>
              </w:rPr>
              <w:t>≥2000分钟国内时长语音接入，每月提供≥150GB国内流量接入，每月提供≥150条短信，提供不低于千兆互联网服务；实现信息内外网之间网络资源数据的安全交换，保障在移动信息化建设过程中，只有合法的用户才能访问合法的信息内外资源，保持</w:t>
            </w:r>
            <w:r>
              <w:rPr>
                <w:rFonts w:ascii="仿宋_GB2312" w:hAnsi="仿宋_GB2312" w:cs="仿宋_GB2312" w:eastAsia="仿宋_GB2312"/>
                <w:sz w:val="24"/>
              </w:rPr>
              <w:t>原有终端用户号码保持不变。</w:t>
            </w:r>
          </w:p>
          <w:p>
            <w:pPr>
              <w:pStyle w:val="null3"/>
              <w:spacing w:before="105" w:after="105"/>
              <w:jc w:val="both"/>
            </w:pPr>
            <w:r>
              <w:rPr>
                <w:rFonts w:ascii="仿宋_GB2312" w:hAnsi="仿宋_GB2312" w:cs="仿宋_GB2312" w:eastAsia="仿宋_GB2312"/>
                <w:sz w:val="24"/>
              </w:rPr>
              <w:t>数量：</w:t>
            </w:r>
            <w:r>
              <w:rPr>
                <w:rFonts w:ascii="仿宋_GB2312" w:hAnsi="仿宋_GB2312" w:cs="仿宋_GB2312" w:eastAsia="仿宋_GB2312"/>
                <w:sz w:val="24"/>
              </w:rPr>
              <w:t>249</w:t>
            </w:r>
          </w:p>
          <w:p>
            <w:pPr>
              <w:pStyle w:val="null3"/>
              <w:spacing w:before="105" w:after="105"/>
              <w:jc w:val="both"/>
            </w:pPr>
            <w:r>
              <w:rPr>
                <w:rFonts w:ascii="仿宋_GB2312" w:hAnsi="仿宋_GB2312" w:cs="仿宋_GB2312" w:eastAsia="仿宋_GB2312"/>
                <w:sz w:val="24"/>
                <w:b/>
              </w:rPr>
              <w:t>二、系统安全服务：</w:t>
            </w:r>
          </w:p>
          <w:p>
            <w:pPr>
              <w:pStyle w:val="null3"/>
              <w:spacing w:before="105" w:after="105"/>
              <w:jc w:val="both"/>
            </w:pPr>
            <w:r>
              <w:rPr>
                <w:rFonts w:ascii="仿宋_GB2312" w:hAnsi="仿宋_GB2312" w:cs="仿宋_GB2312" w:eastAsia="仿宋_GB2312"/>
                <w:sz w:val="24"/>
              </w:rPr>
              <w:t>1.具有双模式功能，一个为安全工作（专网）模式，一个为互联网模式；</w:t>
            </w:r>
          </w:p>
          <w:p>
            <w:pPr>
              <w:pStyle w:val="null3"/>
              <w:spacing w:before="105" w:after="105"/>
              <w:jc w:val="both"/>
            </w:pPr>
            <w:r>
              <w:rPr>
                <w:rFonts w:ascii="仿宋_GB2312" w:hAnsi="仿宋_GB2312" w:cs="仿宋_GB2312" w:eastAsia="仿宋_GB2312"/>
                <w:sz w:val="24"/>
              </w:rPr>
              <w:t>2.各模式独立运行，可相互切换；各模式分别有独立的、差异化的人机交互界面，包括但不限于系统桌面、状态栏、快捷面板、锁屏、安装应用界面；</w:t>
            </w:r>
          </w:p>
          <w:p>
            <w:pPr>
              <w:pStyle w:val="null3"/>
              <w:spacing w:before="105" w:after="105"/>
              <w:jc w:val="both"/>
            </w:pPr>
            <w:r>
              <w:rPr>
                <w:rFonts w:ascii="仿宋_GB2312" w:hAnsi="仿宋_GB2312" w:cs="仿宋_GB2312" w:eastAsia="仿宋_GB2312"/>
                <w:sz w:val="24"/>
              </w:rPr>
              <w:t>3.各模式分别有独立的文件系统且彼此隔离，不能互相访问；</w:t>
            </w:r>
          </w:p>
          <w:p>
            <w:pPr>
              <w:pStyle w:val="null3"/>
              <w:spacing w:before="105" w:after="105"/>
              <w:jc w:val="both"/>
            </w:pPr>
            <w:r>
              <w:rPr>
                <w:rFonts w:ascii="仿宋_GB2312" w:hAnsi="仿宋_GB2312" w:cs="仿宋_GB2312" w:eastAsia="仿宋_GB2312"/>
                <w:sz w:val="24"/>
              </w:rPr>
              <w:t>4.各模式下的数据彼此隔离，不能互相访问；</w:t>
            </w:r>
          </w:p>
          <w:p>
            <w:pPr>
              <w:pStyle w:val="null3"/>
              <w:spacing w:before="105" w:after="105"/>
              <w:jc w:val="both"/>
            </w:pPr>
            <w:r>
              <w:rPr>
                <w:rFonts w:ascii="仿宋_GB2312" w:hAnsi="仿宋_GB2312" w:cs="仿宋_GB2312" w:eastAsia="仿宋_GB2312"/>
                <w:sz w:val="24"/>
              </w:rPr>
              <w:t>5.各模式下存储区应彼此隔离，不能互相访问；</w:t>
            </w:r>
          </w:p>
          <w:p>
            <w:pPr>
              <w:pStyle w:val="null3"/>
              <w:spacing w:before="105" w:after="105"/>
              <w:jc w:val="both"/>
            </w:pPr>
            <w:r>
              <w:rPr>
                <w:rFonts w:ascii="仿宋_GB2312" w:hAnsi="仿宋_GB2312" w:cs="仿宋_GB2312" w:eastAsia="仿宋_GB2312"/>
                <w:sz w:val="24"/>
              </w:rPr>
              <w:t>6.各模式支持独立设置解锁指纹和解锁密码；</w:t>
            </w:r>
          </w:p>
          <w:p>
            <w:pPr>
              <w:pStyle w:val="null3"/>
              <w:spacing w:before="105" w:after="105"/>
              <w:jc w:val="both"/>
            </w:pPr>
            <w:r>
              <w:rPr>
                <w:rFonts w:ascii="仿宋_GB2312" w:hAnsi="仿宋_GB2312" w:cs="仿宋_GB2312" w:eastAsia="仿宋_GB2312"/>
                <w:sz w:val="24"/>
              </w:rPr>
              <w:t>7.系统支持防 root。</w:t>
            </w:r>
          </w:p>
          <w:p>
            <w:pPr>
              <w:pStyle w:val="null3"/>
              <w:spacing w:before="105" w:after="105"/>
              <w:jc w:val="both"/>
            </w:pPr>
            <w:r>
              <w:rPr>
                <w:rFonts w:ascii="仿宋_GB2312" w:hAnsi="仿宋_GB2312" w:cs="仿宋_GB2312" w:eastAsia="仿宋_GB2312"/>
                <w:sz w:val="24"/>
              </w:rPr>
              <w:t>8.某一个系统瘫痪不会影响另一个系统的正常运行；</w:t>
            </w:r>
          </w:p>
          <w:p>
            <w:pPr>
              <w:pStyle w:val="null3"/>
              <w:spacing w:before="105" w:after="105"/>
              <w:jc w:val="both"/>
            </w:pPr>
            <w:r>
              <w:rPr>
                <w:rFonts w:ascii="仿宋_GB2312" w:hAnsi="仿宋_GB2312" w:cs="仿宋_GB2312" w:eastAsia="仿宋_GB2312"/>
                <w:sz w:val="24"/>
              </w:rPr>
              <w:t>9.电话：各模式都能接电话，当前在哪个模式接电话通话记录保存在哪个模式下，数据相互独立存储，相互不能访问；</w:t>
            </w:r>
          </w:p>
          <w:p>
            <w:pPr>
              <w:pStyle w:val="null3"/>
              <w:spacing w:before="105" w:after="105"/>
              <w:jc w:val="both"/>
            </w:pPr>
            <w:r>
              <w:rPr>
                <w:rFonts w:ascii="仿宋_GB2312" w:hAnsi="仿宋_GB2312" w:cs="仿宋_GB2312" w:eastAsia="仿宋_GB2312"/>
                <w:sz w:val="24"/>
              </w:rPr>
              <w:t>10.短信息：各模式都能收发短信，当前在哪个模式收发信息就保存在哪个模式下；数据相互独立存储，相互不能访问；</w:t>
            </w:r>
          </w:p>
          <w:p>
            <w:pPr>
              <w:pStyle w:val="null3"/>
              <w:spacing w:before="105" w:after="105"/>
              <w:jc w:val="both"/>
            </w:pPr>
            <w:r>
              <w:rPr>
                <w:rFonts w:ascii="仿宋_GB2312" w:hAnsi="仿宋_GB2312" w:cs="仿宋_GB2312" w:eastAsia="仿宋_GB2312"/>
                <w:sz w:val="24"/>
              </w:rPr>
              <w:t>11.通讯录：各模式下分别有自己的通信录，通讯录数据相互独立，不能相互访问。</w:t>
            </w:r>
          </w:p>
          <w:p>
            <w:pPr>
              <w:pStyle w:val="null3"/>
              <w:spacing w:before="105" w:after="105"/>
              <w:jc w:val="both"/>
            </w:pPr>
            <w:r>
              <w:rPr>
                <w:rFonts w:ascii="仿宋_GB2312" w:hAnsi="仿宋_GB2312" w:cs="仿宋_GB2312" w:eastAsia="仿宋_GB2312"/>
                <w:sz w:val="24"/>
              </w:rPr>
              <w:t>12.个人模式与工作模式可以连接不同的APN或VPDN节点，个人模式连接互联网，工作模式通过运营商APN或VPDN网络连接公安专用网络；</w:t>
            </w:r>
          </w:p>
          <w:p>
            <w:pPr>
              <w:pStyle w:val="null3"/>
              <w:spacing w:before="105" w:after="105"/>
              <w:jc w:val="both"/>
            </w:pPr>
            <w:r>
              <w:rPr>
                <w:rFonts w:ascii="仿宋_GB2312" w:hAnsi="仿宋_GB2312" w:cs="仿宋_GB2312" w:eastAsia="仿宋_GB2312"/>
                <w:sz w:val="24"/>
              </w:rPr>
              <w:t>13.VPDN进入工作模式时，后台自动拨号连接，用户无感知；</w:t>
            </w:r>
          </w:p>
          <w:p>
            <w:pPr>
              <w:pStyle w:val="null3"/>
              <w:spacing w:before="105" w:after="105"/>
              <w:jc w:val="both"/>
            </w:pPr>
            <w:r>
              <w:rPr>
                <w:rFonts w:ascii="仿宋_GB2312" w:hAnsi="仿宋_GB2312" w:cs="仿宋_GB2312" w:eastAsia="仿宋_GB2312"/>
                <w:sz w:val="24"/>
              </w:rPr>
              <w:t>14.可通过预制WLAN功能策略或管控接口配置，禁用WLAN，禁止连接无线局域网、开启热点、相互连接；</w:t>
            </w:r>
          </w:p>
          <w:p>
            <w:pPr>
              <w:pStyle w:val="null3"/>
              <w:spacing w:before="105" w:after="105"/>
              <w:jc w:val="both"/>
            </w:pPr>
            <w:r>
              <w:rPr>
                <w:rFonts w:ascii="仿宋_GB2312" w:hAnsi="仿宋_GB2312" w:cs="仿宋_GB2312" w:eastAsia="仿宋_GB2312"/>
                <w:sz w:val="24"/>
              </w:rPr>
              <w:t>15.在接入数据专网时，支持IPSec或SSL/TLS VPN客户端安装运行，基于数字证书实现网络身份验证；</w:t>
            </w:r>
          </w:p>
          <w:p>
            <w:pPr>
              <w:pStyle w:val="null3"/>
              <w:spacing w:before="105" w:after="105"/>
              <w:jc w:val="both"/>
            </w:pPr>
            <w:r>
              <w:rPr>
                <w:rFonts w:ascii="仿宋_GB2312" w:hAnsi="仿宋_GB2312" w:cs="仿宋_GB2312" w:eastAsia="仿宋_GB2312"/>
                <w:sz w:val="24"/>
              </w:rPr>
              <w:t>16.不能通过蓝牙、NFC等外围接口进行模式之间数据摆渡；</w:t>
            </w:r>
          </w:p>
          <w:p>
            <w:pPr>
              <w:pStyle w:val="null3"/>
              <w:spacing w:before="105" w:after="105"/>
              <w:jc w:val="both"/>
            </w:pPr>
            <w:r>
              <w:rPr>
                <w:rFonts w:ascii="仿宋_GB2312" w:hAnsi="仿宋_GB2312" w:cs="仿宋_GB2312" w:eastAsia="仿宋_GB2312"/>
                <w:sz w:val="24"/>
              </w:rPr>
              <w:t>17.不能通过外接存储设备进行模式之间数据摆渡。</w:t>
            </w:r>
          </w:p>
          <w:p>
            <w:pPr>
              <w:pStyle w:val="null3"/>
              <w:spacing w:before="105" w:after="105"/>
              <w:jc w:val="both"/>
            </w:pPr>
            <w:r>
              <w:rPr>
                <w:rFonts w:ascii="仿宋_GB2312" w:hAnsi="仿宋_GB2312" w:cs="仿宋_GB2312" w:eastAsia="仿宋_GB2312"/>
                <w:sz w:val="24"/>
              </w:rPr>
              <w:t>18.</w:t>
            </w:r>
            <w:r>
              <w:rPr>
                <w:rFonts w:ascii="仿宋_GB2312" w:hAnsi="仿宋_GB2312" w:cs="仿宋_GB2312" w:eastAsia="仿宋_GB2312"/>
                <w:sz w:val="24"/>
              </w:rPr>
              <w:t xml:space="preserve"> </w:t>
            </w:r>
            <w:r>
              <w:rPr>
                <w:rFonts w:ascii="仿宋_GB2312" w:hAnsi="仿宋_GB2312" w:cs="仿宋_GB2312" w:eastAsia="仿宋_GB2312"/>
                <w:sz w:val="24"/>
              </w:rPr>
              <w:t>支持基于芯片集成安全模块的警务通加解密服务，并实现证书远程管理功能。</w:t>
            </w:r>
          </w:p>
          <w:p>
            <w:pPr>
              <w:pStyle w:val="null3"/>
              <w:spacing w:before="105" w:after="105"/>
              <w:jc w:val="both"/>
            </w:pPr>
            <w:r>
              <w:rPr>
                <w:rFonts w:ascii="仿宋_GB2312" w:hAnsi="仿宋_GB2312" w:cs="仿宋_GB2312" w:eastAsia="仿宋_GB2312"/>
                <w:sz w:val="24"/>
              </w:rPr>
              <w:t>数量：</w:t>
            </w:r>
            <w:r>
              <w:rPr>
                <w:rFonts w:ascii="仿宋_GB2312" w:hAnsi="仿宋_GB2312" w:cs="仿宋_GB2312" w:eastAsia="仿宋_GB2312"/>
                <w:sz w:val="24"/>
              </w:rPr>
              <w:t>249</w:t>
            </w:r>
          </w:p>
          <w:p>
            <w:pPr>
              <w:pStyle w:val="null3"/>
              <w:spacing w:before="105" w:after="105"/>
              <w:jc w:val="both"/>
            </w:pPr>
            <w:r>
              <w:rPr>
                <w:rFonts w:ascii="仿宋_GB2312" w:hAnsi="仿宋_GB2312" w:cs="仿宋_GB2312" w:eastAsia="仿宋_GB2312"/>
                <w:sz w:val="24"/>
                <w:b/>
              </w:rPr>
              <w:t>三、移动警务服务</w:t>
            </w:r>
          </w:p>
          <w:p>
            <w:pPr>
              <w:pStyle w:val="null3"/>
              <w:spacing w:before="105" w:after="105"/>
              <w:jc w:val="both"/>
            </w:pPr>
            <w:r>
              <w:rPr>
                <w:rFonts w:ascii="仿宋_GB2312" w:hAnsi="仿宋_GB2312" w:cs="仿宋_GB2312" w:eastAsia="仿宋_GB2312"/>
                <w:sz w:val="24"/>
              </w:rPr>
              <w:t>1.CPU型号：骁龙8 Gen 1或骁龙8以上芯片；</w:t>
            </w:r>
          </w:p>
          <w:p>
            <w:pPr>
              <w:pStyle w:val="null3"/>
              <w:spacing w:before="105" w:after="105"/>
              <w:jc w:val="both"/>
            </w:pPr>
            <w:r>
              <w:rPr>
                <w:rFonts w:ascii="仿宋_GB2312" w:hAnsi="仿宋_GB2312" w:cs="仿宋_GB2312" w:eastAsia="仿宋_GB2312"/>
                <w:sz w:val="24"/>
              </w:rPr>
              <w:t>2.CPU核数：≧八核；</w:t>
            </w:r>
          </w:p>
          <w:p>
            <w:pPr>
              <w:pStyle w:val="null3"/>
              <w:spacing w:before="105" w:after="105"/>
              <w:jc w:val="both"/>
            </w:pPr>
            <w:r>
              <w:rPr>
                <w:rFonts w:ascii="仿宋_GB2312" w:hAnsi="仿宋_GB2312" w:cs="仿宋_GB2312" w:eastAsia="仿宋_GB2312"/>
                <w:sz w:val="24"/>
              </w:rPr>
              <w:t>3.网络制式：双卡双待,全网通</w:t>
            </w:r>
          </w:p>
          <w:p>
            <w:pPr>
              <w:pStyle w:val="null3"/>
              <w:spacing w:before="105" w:after="105"/>
              <w:jc w:val="both"/>
            </w:pPr>
            <w:r>
              <w:rPr>
                <w:rFonts w:ascii="仿宋_GB2312" w:hAnsi="仿宋_GB2312" w:cs="仿宋_GB2312" w:eastAsia="仿宋_GB2312"/>
                <w:sz w:val="24"/>
              </w:rPr>
              <w:t>4.运行内存（RAM）：≧ 12GB；</w:t>
            </w:r>
          </w:p>
          <w:p>
            <w:pPr>
              <w:pStyle w:val="null3"/>
              <w:spacing w:before="105" w:after="105"/>
              <w:jc w:val="both"/>
            </w:pPr>
            <w:r>
              <w:rPr>
                <w:rFonts w:ascii="仿宋_GB2312" w:hAnsi="仿宋_GB2312" w:cs="仿宋_GB2312" w:eastAsia="仿宋_GB2312"/>
                <w:sz w:val="24"/>
              </w:rPr>
              <w:t>5.机身内存（ROM）：≧ 256GB；</w:t>
            </w:r>
          </w:p>
          <w:p>
            <w:pPr>
              <w:pStyle w:val="null3"/>
              <w:spacing w:before="105" w:after="105"/>
              <w:jc w:val="both"/>
            </w:pPr>
            <w:r>
              <w:rPr>
                <w:rFonts w:ascii="仿宋_GB2312" w:hAnsi="仿宋_GB2312" w:cs="仿宋_GB2312" w:eastAsia="仿宋_GB2312"/>
                <w:sz w:val="24"/>
              </w:rPr>
              <w:t>6.分辨率：≧2688x1216PX 1080P高清</w:t>
            </w:r>
          </w:p>
          <w:p>
            <w:pPr>
              <w:pStyle w:val="null3"/>
              <w:spacing w:before="105" w:after="105"/>
              <w:jc w:val="both"/>
            </w:pPr>
            <w:r>
              <w:rPr>
                <w:rFonts w:ascii="仿宋_GB2312" w:hAnsi="仿宋_GB2312" w:cs="仿宋_GB2312" w:eastAsia="仿宋_GB2312"/>
                <w:sz w:val="24"/>
              </w:rPr>
              <w:t>7.电池与续航：电池容量≧5300mAh，支持≧66W的快速充电；</w:t>
            </w:r>
          </w:p>
          <w:p>
            <w:pPr>
              <w:pStyle w:val="null3"/>
              <w:spacing w:before="105" w:after="105"/>
              <w:jc w:val="both"/>
            </w:pPr>
            <w:r>
              <w:rPr>
                <w:rFonts w:ascii="仿宋_GB2312" w:hAnsi="仿宋_GB2312" w:cs="仿宋_GB2312" w:eastAsia="仿宋_GB2312"/>
                <w:sz w:val="24"/>
              </w:rPr>
              <w:t>8</w:t>
            </w:r>
            <w:r>
              <w:rPr>
                <w:rFonts w:ascii="仿宋_GB2312" w:hAnsi="仿宋_GB2312" w:cs="仿宋_GB2312" w:eastAsia="仿宋_GB2312"/>
                <w:sz w:val="24"/>
              </w:rPr>
              <w:t>.蓝牙：BT5.4，支持BLE、SBC、AAC、LDAC、APTX、APTX HD；</w:t>
            </w:r>
          </w:p>
          <w:p>
            <w:pPr>
              <w:pStyle w:val="null3"/>
              <w:spacing w:before="105" w:after="105"/>
              <w:jc w:val="both"/>
            </w:pPr>
            <w:r>
              <w:rPr>
                <w:rFonts w:ascii="仿宋_GB2312" w:hAnsi="仿宋_GB2312" w:cs="仿宋_GB2312" w:eastAsia="仿宋_GB2312"/>
                <w:sz w:val="24"/>
              </w:rPr>
              <w:t>9</w:t>
            </w:r>
            <w:r>
              <w:rPr>
                <w:rFonts w:ascii="仿宋_GB2312" w:hAnsi="仿宋_GB2312" w:cs="仿宋_GB2312" w:eastAsia="仿宋_GB2312"/>
                <w:sz w:val="24"/>
              </w:rPr>
              <w:t>.数据接口：USB Type-C，USB 3.1 GEN1，支持DP1.2；</w:t>
            </w:r>
          </w:p>
          <w:p>
            <w:pPr>
              <w:pStyle w:val="null3"/>
              <w:spacing w:before="105" w:after="105"/>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NFC：支持读卡器模式, 卡模拟模式；</w:t>
            </w:r>
          </w:p>
          <w:p>
            <w:pPr>
              <w:pStyle w:val="null3"/>
              <w:spacing w:before="105" w:after="105"/>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.支持公安系统平台接入密码模块（薄膜卡/TF卡等）的安装及应用。</w:t>
            </w:r>
          </w:p>
          <w:p>
            <w:pPr>
              <w:pStyle w:val="null3"/>
              <w:spacing w:before="105" w:after="105"/>
              <w:jc w:val="both"/>
            </w:pPr>
            <w:r>
              <w:rPr>
                <w:rFonts w:ascii="仿宋_GB2312" w:hAnsi="仿宋_GB2312" w:cs="仿宋_GB2312" w:eastAsia="仿宋_GB2312"/>
                <w:sz w:val="24"/>
              </w:rPr>
              <w:t>数量：</w:t>
            </w:r>
            <w:r>
              <w:rPr>
                <w:rFonts w:ascii="仿宋_GB2312" w:hAnsi="仿宋_GB2312" w:cs="仿宋_GB2312" w:eastAsia="仿宋_GB2312"/>
                <w:sz w:val="24"/>
              </w:rPr>
              <w:t>249</w:t>
            </w:r>
          </w:p>
          <w:p>
            <w:pPr>
              <w:pStyle w:val="null3"/>
              <w:spacing w:before="105" w:after="105"/>
              <w:jc w:val="both"/>
            </w:pPr>
            <w:r>
              <w:rPr>
                <w:rFonts w:ascii="仿宋_GB2312" w:hAnsi="仿宋_GB2312" w:cs="仿宋_GB2312" w:eastAsia="仿宋_GB2312"/>
                <w:sz w:val="24"/>
                <w:b/>
              </w:rPr>
              <w:t>四、系统对接服务</w:t>
            </w:r>
          </w:p>
          <w:p>
            <w:pPr>
              <w:pStyle w:val="null3"/>
              <w:spacing w:before="105" w:after="105"/>
              <w:ind w:firstLine="480"/>
              <w:jc w:val="both"/>
            </w:pPr>
            <w:r>
              <w:rPr>
                <w:rFonts w:ascii="仿宋_GB2312" w:hAnsi="仿宋_GB2312" w:cs="仿宋_GB2312" w:eastAsia="仿宋_GB2312"/>
                <w:sz w:val="24"/>
              </w:rPr>
              <w:t>提供公安移动警务数据通信安全加密数据无缝对接服务。按照采购人要求，对加密卡进行警员信息录入、更新、注销、迁移等制作服务，在此过程中造成损坏的加密卡由投标人负责无偿提供，以确保数据实现无缝对接，公安业务平稳运行。</w:t>
            </w:r>
          </w:p>
          <w:p>
            <w:pPr>
              <w:pStyle w:val="null3"/>
              <w:spacing w:before="105" w:after="105"/>
              <w:jc w:val="both"/>
            </w:pPr>
            <w:r>
              <w:rPr>
                <w:rFonts w:ascii="仿宋_GB2312" w:hAnsi="仿宋_GB2312" w:cs="仿宋_GB2312" w:eastAsia="仿宋_GB2312"/>
                <w:sz w:val="24"/>
                <w:b/>
              </w:rPr>
              <w:t>五、售后服务</w:t>
            </w:r>
          </w:p>
          <w:p>
            <w:pPr>
              <w:pStyle w:val="null3"/>
              <w:spacing w:before="105" w:after="105"/>
              <w:jc w:val="both"/>
            </w:pPr>
            <w:r>
              <w:rPr>
                <w:rFonts w:ascii="仿宋_GB2312" w:hAnsi="仿宋_GB2312" w:cs="仿宋_GB2312" w:eastAsia="仿宋_GB2312"/>
                <w:sz w:val="24"/>
              </w:rPr>
              <w:t>1</w:t>
            </w:r>
            <w:r>
              <w:rPr>
                <w:rFonts w:ascii="仿宋_GB2312" w:hAnsi="仿宋_GB2312" w:cs="仿宋_GB2312" w:eastAsia="仿宋_GB2312"/>
                <w:sz w:val="24"/>
                <w:b/>
              </w:rPr>
              <w:t>.</w:t>
            </w:r>
            <w:r>
              <w:rPr>
                <w:rFonts w:ascii="仿宋_GB2312" w:hAnsi="仿宋_GB2312" w:cs="仿宋_GB2312" w:eastAsia="仿宋_GB2312"/>
                <w:sz w:val="24"/>
              </w:rPr>
              <w:t xml:space="preserve"> 培训服务。提供项目交付常规操作应用培训，不少于2次。</w:t>
            </w:r>
          </w:p>
          <w:p>
            <w:pPr>
              <w:pStyle w:val="null3"/>
              <w:spacing w:before="105" w:after="105"/>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提供终端贴膜服务及终端保护套。</w:t>
            </w:r>
          </w:p>
          <w:p>
            <w:pPr>
              <w:pStyle w:val="null3"/>
              <w:spacing w:before="105" w:after="105"/>
              <w:jc w:val="both"/>
            </w:pPr>
            <w:r>
              <w:rPr>
                <w:rFonts w:ascii="仿宋_GB2312" w:hAnsi="仿宋_GB2312" w:cs="仿宋_GB2312" w:eastAsia="仿宋_GB2312"/>
                <w:sz w:val="24"/>
              </w:rPr>
              <w:t>3</w:t>
            </w:r>
            <w:r>
              <w:rPr>
                <w:rFonts w:ascii="仿宋_GB2312" w:hAnsi="仿宋_GB2312" w:cs="仿宋_GB2312" w:eastAsia="仿宋_GB2312"/>
                <w:sz w:val="24"/>
              </w:rPr>
              <w:t>.按照采购方需求提供定制彩铃服务。</w:t>
            </w:r>
          </w:p>
          <w:p>
            <w:pPr>
              <w:pStyle w:val="null3"/>
              <w:spacing w:before="105" w:after="105"/>
              <w:ind w:firstLine="480"/>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现场派驻服务人员。派驻≥1人，在合同服务期间内派驻人员到采购人单位开展硬件维护、软件升级、日常运维管理等工作，派驻人员派驻期间接受采购单位日常管理。</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所提供移动警务终端需满足采购需求。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(1)提供符合省公安厅要求的4G/5G等无线网络标准接入服务，移动警务终端需通过入选《陕西省公安机关移动警务终端适配目录》。 (2)提供符合公安部、省公安厅要求的终端安全监控组件服务。在服务期内警务通数据须适配和预装陕西省公安厅移动终端省厅指定软件，不可卸载。 (3)保障采购人提供的现有用户号码继续作为警务通号码保持不变服务。 (4)现场派驻服务。派驻≥1人，在合同服务期间内派驻人员到采购人单位开展硬件维护、软件升级、日常运维管理等工作，派驻人员派驻期间接受采购单位日常管理。 (5)提供不少于1.5%的备用机交由采购单位管理，确保24小时内更换故障设备。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商洛市公安局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要求：乙方必须按照投标文件列明的项目清单及技术参数进行交付，并在交付项目前由甲方对项目技术、功能、服务等进行确认后方可交付使用，对于不经确认或与招标文件要求和投标文件所报项目不相符的，甲方有权拒收，直至终止合同。 乙方遇到可能妨碍按时交付项目的情况，应当及时以书面形式通知甲方，说明原由、拖延的期限等；甲方在收到通知后，尽快进行情况评估，并确定是否通过修改合同、酌情延长工期或者通过协商加收误期赔偿金等方式进行处理。 2、验收：以国家或者行业相应的标准和本合同规定进行验收。项目供货调试到位，达到使用条件时，由乙方出具验收申请，经甲方同意，由甲方根据需要组织乙方和有关技术专家组成验收小组对项目进行完工验收；验收合格的，交接项目实施的全部资料，并填写政府采购项目验收报告单。 3、交付期：自合同签订之日起30个日历天内完工并验收。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合同签订后5日内，支付合同价款的30%；产品到货调试完成后5日内，支付合同价款的30%；项目验收合格后5日内，支付合同价款的37%；剩余3%作为质保金，在服务期满后5日内一次性支付</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1、合同争议的解决：合同执行中发生争议的，由甲乙双方协商解决，协商达不成一致时，可向甲方所在地仲裁机关申请仲裁或者向甲方有管辖权的人民法院提请诉讼。 2、合同一经签订，不得擅自变更、中止或者终止合同。对确需变更、调整或者中止、终止合同的，应按规定履行相应的手续。 3、违约责任：依据《中华人民共和国民法典》《中华人民共和国政府采购法》的相关条款规定和本合同约定，乙方未全面履行合同义务或者发生违约，甲方有权终止合同，依法向乙方进行经济索赔，并报请政府采购监督管理机关依法进行相应的行政处罚。甲方违约，应当赔偿对乙方造成的相应经济损失。 4、因不可抗力因素（不可抗力是指战争、动乱、地震等自然灾害及不可预见的意外）造成合同无法履行的，由甲乙双方协商解决。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1.投标人在参加投标时无需提交纸质投标文件。 2.在采购结果公告后，由中标人补交一套（正本1份，副本2份）纸质投标文件用于备案。 3.纸质投标文件应从政府采购投标文件制作工具中导出后进行编辑、制作，并与电子投标文件一致。 4.纸质投标文件须按招标文件规定的投标文件制作要求进行制作、打印、胶装成册。 5.线下递交响应文件地点:商洛市商州区工农路12号，商洛财政办公楼613室。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符合《政府采购法》第二十二条规定的承诺函.docx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主体资格合法有效</w:t>
            </w:r>
          </w:p>
        </w:tc>
        <w:tc>
          <w:tcPr>
            <w:tcW w:type="dxa" w:w="3322"/>
          </w:tcPr>
          <w:p>
            <w:pPr>
              <w:pStyle w:val="null3"/>
            </w:pPr>
            <w:r>
              <w:rPr>
                <w:rFonts w:ascii="仿宋_GB2312" w:hAnsi="仿宋_GB2312" w:cs="仿宋_GB2312" w:eastAsia="仿宋_GB2312"/>
              </w:rPr>
              <w:t>供应商须在中华人民共和国境内注册，依法取得并有效存续的营业执照（或事业单位法人证书/民办非企业单位登记证书/非企业专业服务机构执业许可证等主体资格证书）。供应商须在项目电子化采购系统中提交主体资格证书（根据企业类型、性质选择其一）原件的扫描件，并完成电子签章。</w:t>
            </w:r>
          </w:p>
        </w:tc>
        <w:tc>
          <w:tcPr>
            <w:tcW w:type="dxa" w:w="1661"/>
          </w:tcPr>
          <w:p>
            <w:pPr>
              <w:pStyle w:val="null3"/>
            </w:pPr>
            <w:r>
              <w:rPr>
                <w:rFonts w:ascii="仿宋_GB2312" w:hAnsi="仿宋_GB2312" w:cs="仿宋_GB2312" w:eastAsia="仿宋_GB2312"/>
              </w:rPr>
              <w:t>主体资格证明文件.docx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具有良好的财务状况</w:t>
            </w:r>
          </w:p>
        </w:tc>
        <w:tc>
          <w:tcPr>
            <w:tcW w:type="dxa" w:w="3322"/>
          </w:tcPr>
          <w:p>
            <w:pPr>
              <w:pStyle w:val="null3"/>
            </w:pPr>
            <w:r>
              <w:rPr>
                <w:rFonts w:ascii="仿宋_GB2312" w:hAnsi="仿宋_GB2312" w:cs="仿宋_GB2312" w:eastAsia="仿宋_GB2312"/>
              </w:rPr>
              <w:t>供应商须具有良好的财务状况，并须在项目电子化交易系统中提交具有良好财务状况的承诺函，且承诺财务状况良好，并完成电子签章。</w:t>
            </w:r>
          </w:p>
        </w:tc>
        <w:tc>
          <w:tcPr>
            <w:tcW w:type="dxa" w:w="1661"/>
          </w:tcPr>
          <w:p>
            <w:pPr>
              <w:pStyle w:val="null3"/>
            </w:pPr>
            <w:r>
              <w:rPr>
                <w:rFonts w:ascii="仿宋_GB2312" w:hAnsi="仿宋_GB2312" w:cs="仿宋_GB2312" w:eastAsia="仿宋_GB2312"/>
              </w:rPr>
              <w:t>具有财务状况良好承诺函.docx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具有良好的税收缴纳记录</w:t>
            </w:r>
          </w:p>
        </w:tc>
        <w:tc>
          <w:tcPr>
            <w:tcW w:type="dxa" w:w="3322"/>
          </w:tcPr>
          <w:p>
            <w:pPr>
              <w:pStyle w:val="null3"/>
            </w:pPr>
            <w:r>
              <w:rPr>
                <w:rFonts w:ascii="仿宋_GB2312" w:hAnsi="仿宋_GB2312" w:cs="仿宋_GB2312" w:eastAsia="仿宋_GB2312"/>
              </w:rPr>
              <w:t>供应商须具有良好的税收缴纳记录，并须在项目电子化交易系统中提交具有良好税收缴纳记录的承诺函，且承诺税收缴纳记录良好，并完成电子签章。</w:t>
            </w:r>
          </w:p>
        </w:tc>
        <w:tc>
          <w:tcPr>
            <w:tcW w:type="dxa" w:w="1661"/>
          </w:tcPr>
          <w:p>
            <w:pPr>
              <w:pStyle w:val="null3"/>
            </w:pPr>
            <w:r>
              <w:rPr>
                <w:rFonts w:ascii="仿宋_GB2312" w:hAnsi="仿宋_GB2312" w:cs="仿宋_GB2312" w:eastAsia="仿宋_GB2312"/>
              </w:rPr>
              <w:t>具有良好税收缴纳记录承诺函.docx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具有良好的社会保障资金缴纳记录</w:t>
            </w:r>
          </w:p>
        </w:tc>
        <w:tc>
          <w:tcPr>
            <w:tcW w:type="dxa" w:w="3322"/>
          </w:tcPr>
          <w:p>
            <w:pPr>
              <w:pStyle w:val="null3"/>
            </w:pPr>
            <w:r>
              <w:rPr>
                <w:rFonts w:ascii="仿宋_GB2312" w:hAnsi="仿宋_GB2312" w:cs="仿宋_GB2312" w:eastAsia="仿宋_GB2312"/>
              </w:rPr>
              <w:t>供应商须具有良好的社会保障资金缴纳记录，并须在项目电子化交易系统中提交具有良好的社会保障资金缴纳记录的承诺函，且承诺社会保障资金缴纳记录良好，并完成电子签章。</w:t>
            </w:r>
          </w:p>
        </w:tc>
        <w:tc>
          <w:tcPr>
            <w:tcW w:type="dxa" w:w="1661"/>
          </w:tcPr>
          <w:p>
            <w:pPr>
              <w:pStyle w:val="null3"/>
            </w:pPr>
            <w:r>
              <w:rPr>
                <w:rFonts w:ascii="仿宋_GB2312" w:hAnsi="仿宋_GB2312" w:cs="仿宋_GB2312" w:eastAsia="仿宋_GB2312"/>
              </w:rPr>
              <w:t>具有良好的社会保障资金缴纳记录.docx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近三年内在经营活动中无重大违法记录</w:t>
            </w:r>
          </w:p>
        </w:tc>
        <w:tc>
          <w:tcPr>
            <w:tcW w:type="dxa" w:w="3322"/>
          </w:tcPr>
          <w:p>
            <w:pPr>
              <w:pStyle w:val="null3"/>
            </w:pPr>
            <w:r>
              <w:rPr>
                <w:rFonts w:ascii="仿宋_GB2312" w:hAnsi="仿宋_GB2312" w:cs="仿宋_GB2312" w:eastAsia="仿宋_GB2312"/>
              </w:rPr>
              <w:t>供应商近三年内在经营活动中须无重大违法记录，并须在项目电子化交易系统中提交近三年内在经营活动中无重大违法记录声明函，且近三年内在经营活动中无重大违法记录，并完成电子签章。</w:t>
            </w:r>
          </w:p>
        </w:tc>
        <w:tc>
          <w:tcPr>
            <w:tcW w:type="dxa" w:w="1661"/>
          </w:tcPr>
          <w:p>
            <w:pPr>
              <w:pStyle w:val="null3"/>
            </w:pPr>
            <w:r>
              <w:rPr>
                <w:rFonts w:ascii="仿宋_GB2312" w:hAnsi="仿宋_GB2312" w:cs="仿宋_GB2312" w:eastAsia="仿宋_GB2312"/>
              </w:rPr>
              <w:t>无重大违法记录声明.docx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法定代表人（负责人）授权书合法有效</w:t>
            </w:r>
          </w:p>
        </w:tc>
        <w:tc>
          <w:tcPr>
            <w:tcW w:type="dxa" w:w="3322"/>
          </w:tcPr>
          <w:p>
            <w:pPr>
              <w:pStyle w:val="null3"/>
            </w:pPr>
            <w:r>
              <w:rPr>
                <w:rFonts w:ascii="仿宋_GB2312" w:hAnsi="仿宋_GB2312" w:cs="仿宋_GB2312" w:eastAsia="仿宋_GB2312"/>
              </w:rPr>
              <w:t>供应商法定代表人(负责人)授权书合法有效，法定代表人（负责人）直接参加投标的须提供本人身份证、法定代表人(负责人)身份证明书，法定代表人(负责人)授权代表参加投标的须提供法定代表人(负责人)授权书、被授权人身份证。供应商须在项目电子化交易系统中提交法定代表人(负责人)身份证、法定代表人(负责人)身份证明书或法定代表人(负责人)授权书、被授权人身份证原件的扫描件，并完成电子签章</w:t>
            </w:r>
          </w:p>
        </w:tc>
        <w:tc>
          <w:tcPr>
            <w:tcW w:type="dxa" w:w="1661"/>
          </w:tcPr>
          <w:p>
            <w:pPr>
              <w:pStyle w:val="null3"/>
            </w:pPr>
            <w:r>
              <w:rPr>
                <w:rFonts w:ascii="仿宋_GB2312" w:hAnsi="仿宋_GB2312" w:cs="仿宋_GB2312" w:eastAsia="仿宋_GB2312"/>
              </w:rPr>
              <w:t>法定代表人（负责人）授权书.docx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单位负责人为同一人或者存在直接控股、管理关系的不同供应商，不得同时参加本项目同一合同项下政府采购活动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同一合同项下政府采购活动。供应商须在项目电子化交易系统中提交“单位负责人为同一人或者存在直接控股、管理关系的不同供应商，不得同时参加本项目同一合同项下的政府采购活动的承诺书”原件的扫描件，并完成电子签章。</w:t>
            </w:r>
          </w:p>
        </w:tc>
        <w:tc>
          <w:tcPr>
            <w:tcW w:type="dxa" w:w="1661"/>
          </w:tcPr>
          <w:p>
            <w:pPr>
              <w:pStyle w:val="null3"/>
            </w:pPr>
            <w:r>
              <w:rPr>
                <w:rFonts w:ascii="仿宋_GB2312" w:hAnsi="仿宋_GB2312" w:cs="仿宋_GB2312" w:eastAsia="仿宋_GB2312"/>
              </w:rPr>
              <w:t>控股管理关系承诺函.docx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非联合体不分包响应声明</w:t>
            </w:r>
          </w:p>
        </w:tc>
        <w:tc>
          <w:tcPr>
            <w:tcW w:type="dxa" w:w="3322"/>
          </w:tcPr>
          <w:p>
            <w:pPr>
              <w:pStyle w:val="null3"/>
            </w:pPr>
            <w:r>
              <w:rPr>
                <w:rFonts w:ascii="仿宋_GB2312" w:hAnsi="仿宋_GB2312" w:cs="仿宋_GB2312" w:eastAsia="仿宋_GB2312"/>
              </w:rPr>
              <w:t>本项目不接受联合体投标，供应商须以一个独立的法人实体参加投标。供应商须在项目电子化交易系统中提交“非联合体不分包投标声明函”原件的扫描件，并完成电子签章。</w:t>
            </w:r>
          </w:p>
        </w:tc>
        <w:tc>
          <w:tcPr>
            <w:tcW w:type="dxa" w:w="1661"/>
          </w:tcPr>
          <w:p>
            <w:pPr>
              <w:pStyle w:val="null3"/>
            </w:pPr>
            <w:r>
              <w:rPr>
                <w:rFonts w:ascii="仿宋_GB2312" w:hAnsi="仿宋_GB2312" w:cs="仿宋_GB2312" w:eastAsia="仿宋_GB2312"/>
              </w:rPr>
              <w:t>非联合体不分包投标声明函.docx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信用记录查询证明</w:t>
            </w:r>
          </w:p>
        </w:tc>
        <w:tc>
          <w:tcPr>
            <w:tcW w:type="dxa" w:w="3322"/>
          </w:tcPr>
          <w:p>
            <w:pPr>
              <w:pStyle w:val="null3"/>
            </w:pPr>
            <w:r>
              <w:rPr>
                <w:rFonts w:ascii="仿宋_GB2312" w:hAnsi="仿宋_GB2312" w:cs="仿宋_GB2312" w:eastAsia="仿宋_GB2312"/>
              </w:rPr>
              <w:t>供应商未被信用中国网站（http://www.creditchina.gov.cn）列入信用记录失信被执行人、重大税收违法案件当事人名单，未被中国政府采购网（http://www.ccgp.gov.cn）列为政府采购严重违法失信行为记录名单、未被禁止参加政府采购活动。供应商须在项目电子化交易系统中提交在信用中国网站、中国政府采购网的信用记录查询截图（标注查询日期），并完成电子签章。</w:t>
            </w:r>
          </w:p>
        </w:tc>
        <w:tc>
          <w:tcPr>
            <w:tcW w:type="dxa" w:w="1661"/>
          </w:tcPr>
          <w:p>
            <w:pPr>
              <w:pStyle w:val="null3"/>
            </w:pPr>
            <w:r>
              <w:rPr>
                <w:rFonts w:ascii="仿宋_GB2312" w:hAnsi="仿宋_GB2312" w:cs="仿宋_GB2312" w:eastAsia="仿宋_GB2312"/>
              </w:rPr>
              <w:t>信用记录声明函.docx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投标文件中应签章处是否正确签章。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投标文件是否标明了投标有效期，投标有效期是否达到招标文件的要求。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投标价格</w:t>
            </w:r>
          </w:p>
        </w:tc>
        <w:tc>
          <w:tcPr>
            <w:tcW w:type="dxa" w:w="3322"/>
          </w:tcPr>
          <w:p>
            <w:pPr>
              <w:pStyle w:val="null3"/>
            </w:pPr>
            <w:r>
              <w:rPr>
                <w:rFonts w:ascii="仿宋_GB2312" w:hAnsi="仿宋_GB2312" w:cs="仿宋_GB2312" w:eastAsia="仿宋_GB2312"/>
              </w:rPr>
              <w:t>投标价格是否超过本项目预算价。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技术投标方案</w:t>
            </w:r>
          </w:p>
        </w:tc>
        <w:tc>
          <w:tcPr>
            <w:tcW w:type="dxa" w:w="3322"/>
          </w:tcPr>
          <w:p>
            <w:pPr>
              <w:pStyle w:val="null3"/>
            </w:pPr>
            <w:r>
              <w:rPr>
                <w:rFonts w:ascii="仿宋_GB2312" w:hAnsi="仿宋_GB2312" w:cs="仿宋_GB2312" w:eastAsia="仿宋_GB2312"/>
              </w:rPr>
              <w:t>投标文件中的技术投标方案是否符合招标文件要求，是否有重大负偏离。</w:t>
            </w:r>
          </w:p>
        </w:tc>
        <w:tc>
          <w:tcPr>
            <w:tcW w:type="dxa" w:w="1661"/>
          </w:tcPr>
          <w:p>
            <w:pPr>
              <w:pStyle w:val="null3"/>
            </w:pPr>
            <w:r>
              <w:rPr>
                <w:rFonts w:ascii="仿宋_GB2312" w:hAnsi="仿宋_GB2312" w:cs="仿宋_GB2312" w:eastAsia="仿宋_GB2312"/>
              </w:rPr>
              <w:t>技术投标方案.docx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商务投标方案</w:t>
            </w:r>
          </w:p>
        </w:tc>
        <w:tc>
          <w:tcPr>
            <w:tcW w:type="dxa" w:w="3322"/>
          </w:tcPr>
          <w:p>
            <w:pPr>
              <w:pStyle w:val="null3"/>
            </w:pPr>
            <w:r>
              <w:rPr>
                <w:rFonts w:ascii="仿宋_GB2312" w:hAnsi="仿宋_GB2312" w:cs="仿宋_GB2312" w:eastAsia="仿宋_GB2312"/>
              </w:rPr>
              <w:t>投标文件中的商务投标方案是否符合招标文件要求，是否有重大负偏离。</w:t>
            </w:r>
          </w:p>
        </w:tc>
        <w:tc>
          <w:tcPr>
            <w:tcW w:type="dxa" w:w="1661"/>
          </w:tcPr>
          <w:p>
            <w:pPr>
              <w:pStyle w:val="null3"/>
            </w:pPr>
            <w:r>
              <w:rPr>
                <w:rFonts w:ascii="仿宋_GB2312" w:hAnsi="仿宋_GB2312" w:cs="仿宋_GB2312" w:eastAsia="仿宋_GB2312"/>
              </w:rPr>
              <w:t>商务投标方案.docx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投标条件</w:t>
            </w:r>
          </w:p>
        </w:tc>
        <w:tc>
          <w:tcPr>
            <w:tcW w:type="dxa" w:w="3322"/>
          </w:tcPr>
          <w:p>
            <w:pPr>
              <w:pStyle w:val="null3"/>
            </w:pPr>
            <w:r>
              <w:rPr>
                <w:rFonts w:ascii="仿宋_GB2312" w:hAnsi="仿宋_GB2312" w:cs="仿宋_GB2312" w:eastAsia="仿宋_GB2312"/>
              </w:rPr>
              <w:t>投标文件中是否附有采购人不能接受的条件。</w:t>
            </w:r>
          </w:p>
        </w:tc>
        <w:tc>
          <w:tcPr>
            <w:tcW w:type="dxa" w:w="1661"/>
          </w:tcPr>
          <w:p>
            <w:pPr>
              <w:pStyle w:val="null3"/>
            </w:pPr>
            <w:r>
              <w:rPr>
                <w:rFonts w:ascii="仿宋_GB2312" w:hAnsi="仿宋_GB2312" w:cs="仿宋_GB2312" w:eastAsia="仿宋_GB2312"/>
              </w:rPr>
              <w:t>项目实施方案.docx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投标文件中的其他响应方案是否响应了招标文件规定的其他实质性要求。</w:t>
            </w:r>
          </w:p>
        </w:tc>
        <w:tc>
          <w:tcPr>
            <w:tcW w:type="dxa" w:w="1661"/>
          </w:tcPr>
          <w:p>
            <w:pPr>
              <w:pStyle w:val="null3"/>
            </w:pPr>
            <w:r>
              <w:rPr>
                <w:rFonts w:ascii="仿宋_GB2312" w:hAnsi="仿宋_GB2312" w:cs="仿宋_GB2312" w:eastAsia="仿宋_GB2312"/>
              </w:rPr>
              <w:t>技术投标方案.docx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法律、法规规定</w:t>
            </w:r>
          </w:p>
        </w:tc>
        <w:tc>
          <w:tcPr>
            <w:tcW w:type="dxa" w:w="3322"/>
          </w:tcPr>
          <w:p>
            <w:pPr>
              <w:pStyle w:val="null3"/>
            </w:pPr>
            <w:r>
              <w:rPr>
                <w:rFonts w:ascii="仿宋_GB2312" w:hAnsi="仿宋_GB2312" w:cs="仿宋_GB2312" w:eastAsia="仿宋_GB2312"/>
              </w:rPr>
              <w:t>投标文件是否有违反《中华人民共和国政府采购法》和其他相关法律、法规规定的情形。</w:t>
            </w:r>
          </w:p>
        </w:tc>
        <w:tc>
          <w:tcPr>
            <w:tcW w:type="dxa" w:w="1661"/>
          </w:tcPr>
          <w:p>
            <w:pPr>
              <w:pStyle w:val="null3"/>
            </w:pPr>
            <w:r>
              <w:rPr>
                <w:rFonts w:ascii="仿宋_GB2312" w:hAnsi="仿宋_GB2312" w:cs="仿宋_GB2312" w:eastAsia="仿宋_GB2312"/>
              </w:rPr>
              <w:t>供应商承诺书（一）.docx 服务要点、难点分析及风险防范和保证措施.docx 供应商承诺书（二）.docx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基础通信服务</w:t>
            </w:r>
          </w:p>
        </w:tc>
        <w:tc>
          <w:tcPr>
            <w:tcW w:type="dxa" w:w="2492"/>
          </w:tcPr>
          <w:p>
            <w:pPr>
              <w:pStyle w:val="null3"/>
            </w:pPr>
            <w:r>
              <w:rPr>
                <w:rFonts w:ascii="仿宋_GB2312" w:hAnsi="仿宋_GB2312" w:cs="仿宋_GB2312" w:eastAsia="仿宋_GB2312"/>
              </w:rPr>
              <w:t>基础通信服务符合项目功能需求，技术参数客观真实，并附相关佐证资料的得10分。技术参数和功能指标优于招标文件要求的，每优一项加1分，单项最多加2分，此项最多加10分。技术参数和功能指标不能满足要求的本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技术投标方案.docx</w:t>
            </w:r>
          </w:p>
        </w:tc>
      </w:tr>
      <w:tr>
        <w:tc>
          <w:tcPr>
            <w:tcW w:type="dxa" w:w="831"/>
            <w:vMerge/>
          </w:tcPr>
          <w:p/>
        </w:tc>
        <w:tc>
          <w:tcPr>
            <w:tcW w:type="dxa" w:w="1661"/>
          </w:tcPr>
          <w:p>
            <w:pPr>
              <w:pStyle w:val="null3"/>
            </w:pPr>
            <w:r>
              <w:rPr>
                <w:rFonts w:ascii="仿宋_GB2312" w:hAnsi="仿宋_GB2312" w:cs="仿宋_GB2312" w:eastAsia="仿宋_GB2312"/>
              </w:rPr>
              <w:t>系统安全服务</w:t>
            </w:r>
          </w:p>
        </w:tc>
        <w:tc>
          <w:tcPr>
            <w:tcW w:type="dxa" w:w="2492"/>
          </w:tcPr>
          <w:p>
            <w:pPr>
              <w:pStyle w:val="null3"/>
            </w:pPr>
            <w:r>
              <w:rPr>
                <w:rFonts w:ascii="仿宋_GB2312" w:hAnsi="仿宋_GB2312" w:cs="仿宋_GB2312" w:eastAsia="仿宋_GB2312"/>
              </w:rPr>
              <w:t>符合项目功能需求，技术参数客观真实，安全可靠的得2分，附相关佐证资料的，每项加1分，最多加1分，本项最多得3分。技术参数和功能指标不能满足要求的本项不得分。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技术投标方案.docx</w:t>
            </w:r>
          </w:p>
        </w:tc>
      </w:tr>
      <w:tr>
        <w:tc>
          <w:tcPr>
            <w:tcW w:type="dxa" w:w="831"/>
            <w:vMerge/>
          </w:tcPr>
          <w:p/>
        </w:tc>
        <w:tc>
          <w:tcPr>
            <w:tcW w:type="dxa" w:w="1661"/>
          </w:tcPr>
          <w:p>
            <w:pPr>
              <w:pStyle w:val="null3"/>
            </w:pPr>
            <w:r>
              <w:rPr>
                <w:rFonts w:ascii="仿宋_GB2312" w:hAnsi="仿宋_GB2312" w:cs="仿宋_GB2312" w:eastAsia="仿宋_GB2312"/>
              </w:rPr>
              <w:t>移动警务服务</w:t>
            </w:r>
          </w:p>
        </w:tc>
        <w:tc>
          <w:tcPr>
            <w:tcW w:type="dxa" w:w="2492"/>
          </w:tcPr>
          <w:p>
            <w:pPr>
              <w:pStyle w:val="null3"/>
            </w:pPr>
            <w:r>
              <w:rPr>
                <w:rFonts w:ascii="仿宋_GB2312" w:hAnsi="仿宋_GB2312" w:cs="仿宋_GB2312" w:eastAsia="仿宋_GB2312"/>
              </w:rPr>
              <w:t>提供的移动警务终端设备技术指标完全符合项目要求的得4分。技术参数和功能指标更优者，每优一项加1分，单项最多加2分，此项最多加6分。技术参数和功能指标不能满足要求的本项不得分。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技术投标方案.docx</w:t>
            </w:r>
          </w:p>
        </w:tc>
      </w:tr>
      <w:tr>
        <w:tc>
          <w:tcPr>
            <w:tcW w:type="dxa" w:w="831"/>
            <w:vMerge/>
          </w:tcPr>
          <w:p/>
        </w:tc>
        <w:tc>
          <w:tcPr>
            <w:tcW w:type="dxa" w:w="1661"/>
          </w:tcPr>
          <w:p>
            <w:pPr>
              <w:pStyle w:val="null3"/>
            </w:pPr>
            <w:r>
              <w:rPr>
                <w:rFonts w:ascii="仿宋_GB2312" w:hAnsi="仿宋_GB2312" w:cs="仿宋_GB2312" w:eastAsia="仿宋_GB2312"/>
              </w:rPr>
              <w:t>系统对接服务</w:t>
            </w:r>
          </w:p>
        </w:tc>
        <w:tc>
          <w:tcPr>
            <w:tcW w:type="dxa" w:w="2492"/>
          </w:tcPr>
          <w:p>
            <w:pPr>
              <w:pStyle w:val="null3"/>
            </w:pPr>
            <w:r>
              <w:rPr>
                <w:rFonts w:ascii="仿宋_GB2312" w:hAnsi="仿宋_GB2312" w:cs="仿宋_GB2312" w:eastAsia="仿宋_GB2312"/>
              </w:rPr>
              <w:t>移动警务终端符合4G/5G等无线网络标准接入服务要求，且能够提供入选《陕西省公安机关单北斗智能手机型移动警务终端名录》证明文件的得1分；提供移动终端安全监控组件服务，预装陕西省公安厅移动终端指定不可卸载软件截图的得2分；提供公安移动警务数据通信安全加密数据无缝对接服务证明并书面作出承诺的得2分；提供现有用户号码继续作为终端号码保持不变服务承诺书的得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技术投标方案.docx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移动警务终端进货渠道正规，产品生产质量符合国家最新标准和行业规范的，得4分；提供产品认定证书或产品检测报告的，每项加1分。本项最多加2分。本项最多得6分。不能证明产品进货渠道，产品生产质量不符合国家最新标准和行业规范的，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技术投标方案.docx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完整，组织实施计划科学可行，分工明确到位，协调措施有力，具有完成项目的组织能力、财力、物力、人力保障，质量保证措施齐全，内容完整，能够保证按期完工的得6分。项目实施方案优于招标文件要求的，每优一项加1分，单项最多加1分，此项最多加2分。无项目实施方案或项目实施方案不符合项目需求的，本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拟派本次项目服务团队专业能力强，经验丰富，工作任务清晰明确的得4分，拟派服务团队人员计划方案优于招标文件要求的，并提供派驻服务人员简历、资质证书的，每项加1分，最多加2分。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服务团队投标方案.docx</w:t>
            </w:r>
          </w:p>
        </w:tc>
      </w:tr>
      <w:tr>
        <w:tc>
          <w:tcPr>
            <w:tcW w:type="dxa" w:w="831"/>
            <w:vMerge/>
          </w:tcPr>
          <w:p/>
        </w:tc>
        <w:tc>
          <w:tcPr>
            <w:tcW w:type="dxa" w:w="1661"/>
          </w:tcPr>
          <w:p>
            <w:pPr>
              <w:pStyle w:val="null3"/>
            </w:pPr>
            <w:r>
              <w:rPr>
                <w:rFonts w:ascii="仿宋_GB2312" w:hAnsi="仿宋_GB2312" w:cs="仿宋_GB2312" w:eastAsia="仿宋_GB2312"/>
              </w:rPr>
              <w:t>业绩及信誉评价</w:t>
            </w:r>
          </w:p>
        </w:tc>
        <w:tc>
          <w:tcPr>
            <w:tcW w:type="dxa" w:w="2492"/>
          </w:tcPr>
          <w:p>
            <w:pPr>
              <w:pStyle w:val="null3"/>
            </w:pPr>
            <w:r>
              <w:rPr>
                <w:rFonts w:ascii="仿宋_GB2312" w:hAnsi="仿宋_GB2312" w:cs="仿宋_GB2312" w:eastAsia="仿宋_GB2312"/>
              </w:rPr>
              <w:t>提供类似项目业绩证明文件（合同），并提供驻场服务客户评价证明的，每提供1份得2分，此项最多得4分。未提供业绩证明文件、客户评价意见的，本项不得分。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vMerge/>
          </w:tcPr>
          <w:p/>
        </w:tc>
        <w:tc>
          <w:tcPr>
            <w:tcW w:type="dxa" w:w="1661"/>
          </w:tcPr>
          <w:p>
            <w:pPr>
              <w:pStyle w:val="null3"/>
            </w:pPr>
            <w:r>
              <w:rPr>
                <w:rFonts w:ascii="仿宋_GB2312" w:hAnsi="仿宋_GB2312" w:cs="仿宋_GB2312" w:eastAsia="仿宋_GB2312"/>
              </w:rPr>
              <w:t>培训方案及计划</w:t>
            </w:r>
          </w:p>
        </w:tc>
        <w:tc>
          <w:tcPr>
            <w:tcW w:type="dxa" w:w="2492"/>
          </w:tcPr>
          <w:p>
            <w:pPr>
              <w:pStyle w:val="null3"/>
            </w:pPr>
            <w:r>
              <w:rPr>
                <w:rFonts w:ascii="仿宋_GB2312" w:hAnsi="仿宋_GB2312" w:cs="仿宋_GB2312" w:eastAsia="仿宋_GB2312"/>
              </w:rPr>
              <w:t>提供详尽的培训方案及培训计划,培训内容及方式满足本项目建设、管理、维护、使用等要求的得3分。培训方案及培训计划优于招标文件要求的，每优一项加1分，最多加2分。无培训措施或培训措施不符合要求的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详细、具体、有针对性，备品备件及耗材情况明确，售后服务体系完善的得5分。售后服务方案优于招标文件要求的，每优一项加1分，最多加2分。无售后服务方案，售后服务无保证措施或方案及措施不符合要求的，本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商务方案</w:t>
            </w:r>
          </w:p>
        </w:tc>
        <w:tc>
          <w:tcPr>
            <w:tcW w:type="dxa" w:w="2492"/>
          </w:tcPr>
          <w:p>
            <w:pPr>
              <w:pStyle w:val="null3"/>
            </w:pPr>
            <w:r>
              <w:rPr>
                <w:rFonts w:ascii="仿宋_GB2312" w:hAnsi="仿宋_GB2312" w:cs="仿宋_GB2312" w:eastAsia="仿宋_GB2312"/>
              </w:rPr>
              <w:t>满足商务合同条款要求的，得2分；商务方案优于招标文件要求的，每优一项加1分，最多加2分。不满足合同条款要求的，本项不得分。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最低有效的报价为基准价计20分。其他各供应商的报价按下列公式计算：（Y/X）×20＝Z，X＝投标价、Y＝基准价、Z＝报价得分。具备享受价格得分优惠的企业，按有关规定进行价格分计算。</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详见附件：符合《政府采购法》第二十二条规定的承诺函.docx</w:t>
      </w:r>
    </w:p>
    <w:p>
      <w:pPr>
        <w:pStyle w:val="null3"/>
        <w:ind w:firstLine="960"/>
      </w:pPr>
      <w:r>
        <w:rPr>
          <w:rFonts w:ascii="仿宋_GB2312" w:hAnsi="仿宋_GB2312" w:cs="仿宋_GB2312" w:eastAsia="仿宋_GB2312"/>
        </w:rPr>
        <w:t>详见附件：主体资格证明文件.docx</w:t>
      </w:r>
    </w:p>
    <w:p>
      <w:pPr>
        <w:pStyle w:val="null3"/>
        <w:ind w:firstLine="960"/>
      </w:pPr>
      <w:r>
        <w:rPr>
          <w:rFonts w:ascii="仿宋_GB2312" w:hAnsi="仿宋_GB2312" w:cs="仿宋_GB2312" w:eastAsia="仿宋_GB2312"/>
        </w:rPr>
        <w:t>详见附件：具有财务状况良好承诺函.docx</w:t>
      </w:r>
    </w:p>
    <w:p>
      <w:pPr>
        <w:pStyle w:val="null3"/>
        <w:ind w:firstLine="960"/>
      </w:pPr>
      <w:r>
        <w:rPr>
          <w:rFonts w:ascii="仿宋_GB2312" w:hAnsi="仿宋_GB2312" w:cs="仿宋_GB2312" w:eastAsia="仿宋_GB2312"/>
        </w:rPr>
        <w:t>详见附件：具有良好税收缴纳记录承诺函.docx</w:t>
      </w:r>
    </w:p>
    <w:p>
      <w:pPr>
        <w:pStyle w:val="null3"/>
        <w:ind w:firstLine="960"/>
      </w:pPr>
      <w:r>
        <w:rPr>
          <w:rFonts w:ascii="仿宋_GB2312" w:hAnsi="仿宋_GB2312" w:cs="仿宋_GB2312" w:eastAsia="仿宋_GB2312"/>
        </w:rPr>
        <w:t>详见附件：具有良好的社会保障资金缴纳记录.docx</w:t>
      </w:r>
    </w:p>
    <w:p>
      <w:pPr>
        <w:pStyle w:val="null3"/>
        <w:ind w:firstLine="960"/>
      </w:pPr>
      <w:r>
        <w:rPr>
          <w:rFonts w:ascii="仿宋_GB2312" w:hAnsi="仿宋_GB2312" w:cs="仿宋_GB2312" w:eastAsia="仿宋_GB2312"/>
        </w:rPr>
        <w:t>详见附件：无重大违法记录声明.docx</w:t>
      </w:r>
    </w:p>
    <w:p>
      <w:pPr>
        <w:pStyle w:val="null3"/>
        <w:ind w:firstLine="960"/>
      </w:pPr>
      <w:r>
        <w:rPr>
          <w:rFonts w:ascii="仿宋_GB2312" w:hAnsi="仿宋_GB2312" w:cs="仿宋_GB2312" w:eastAsia="仿宋_GB2312"/>
        </w:rPr>
        <w:t>详见附件：法定代表人（负责人）授权书.docx</w:t>
      </w:r>
    </w:p>
    <w:p>
      <w:pPr>
        <w:pStyle w:val="null3"/>
        <w:ind w:firstLine="960"/>
      </w:pPr>
      <w:r>
        <w:rPr>
          <w:rFonts w:ascii="仿宋_GB2312" w:hAnsi="仿宋_GB2312" w:cs="仿宋_GB2312" w:eastAsia="仿宋_GB2312"/>
        </w:rPr>
        <w:t>详见附件：控股管理关系承诺函.docx</w:t>
      </w:r>
    </w:p>
    <w:p>
      <w:pPr>
        <w:pStyle w:val="null3"/>
        <w:ind w:firstLine="960"/>
      </w:pPr>
      <w:r>
        <w:rPr>
          <w:rFonts w:ascii="仿宋_GB2312" w:hAnsi="仿宋_GB2312" w:cs="仿宋_GB2312" w:eastAsia="仿宋_GB2312"/>
        </w:rPr>
        <w:t>详见附件：非联合体不分包投标声明函.docx</w:t>
      </w:r>
    </w:p>
    <w:p>
      <w:pPr>
        <w:pStyle w:val="null3"/>
        <w:ind w:firstLine="960"/>
      </w:pPr>
      <w:r>
        <w:rPr>
          <w:rFonts w:ascii="仿宋_GB2312" w:hAnsi="仿宋_GB2312" w:cs="仿宋_GB2312" w:eastAsia="仿宋_GB2312"/>
        </w:rPr>
        <w:t>详见附件：信用记录声明函.docx</w:t>
      </w:r>
    </w:p>
    <w:p>
      <w:pPr>
        <w:pStyle w:val="null3"/>
        <w:ind w:firstLine="960"/>
      </w:pPr>
      <w:r>
        <w:rPr>
          <w:rFonts w:ascii="仿宋_GB2312" w:hAnsi="仿宋_GB2312" w:cs="仿宋_GB2312" w:eastAsia="仿宋_GB2312"/>
        </w:rPr>
        <w:t>详见附件：技术投标方案.docx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详见附件：服务团队投标方案.docx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详见附件：商务投标方案.docx</w:t>
      </w:r>
    </w:p>
    <w:p>
      <w:pPr>
        <w:pStyle w:val="null3"/>
        <w:ind w:firstLine="960"/>
      </w:pPr>
      <w:r>
        <w:rPr>
          <w:rFonts w:ascii="仿宋_GB2312" w:hAnsi="仿宋_GB2312" w:cs="仿宋_GB2312" w:eastAsia="仿宋_GB2312"/>
        </w:rPr>
        <w:t>详见附件：供应商承诺书（一）.docx</w:t>
      </w:r>
    </w:p>
    <w:p>
      <w:pPr>
        <w:pStyle w:val="null3"/>
        <w:ind w:firstLine="960"/>
      </w:pPr>
      <w:r>
        <w:rPr>
          <w:rFonts w:ascii="仿宋_GB2312" w:hAnsi="仿宋_GB2312" w:cs="仿宋_GB2312" w:eastAsia="仿宋_GB2312"/>
        </w:rPr>
        <w:t>详见附件：供应商承诺书（二）.docx</w:t>
      </w:r>
    </w:p>
    <w:p>
      <w:pPr>
        <w:pStyle w:val="null3"/>
        <w:ind w:firstLine="960"/>
      </w:pPr>
      <w:r>
        <w:rPr>
          <w:rFonts w:ascii="仿宋_GB2312" w:hAnsi="仿宋_GB2312" w:cs="仿宋_GB2312" w:eastAsia="仿宋_GB2312"/>
        </w:rPr>
        <w:t>详见附件：服务要点、难点分析及风险防范和保证措施.docx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详见附件：合同警务通.docx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