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版本号：ZDSL25-104Z（二次）20260112001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（工程类）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病理科通风系统改造项目（二次）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ZDSL25-104Z（二次）</w:t>
      </w:r>
      <w:r>
        <w:br/>
      </w:r>
      <w:r>
        <w:br/>
      </w:r>
      <w:r>
        <w:br/>
      </w:r>
    </w:p>
    <w:p>
      <w:pPr>
        <w:pStyle w:val="null3"/>
        <w:jc w:val="center"/>
        <w:outlineLvl w:val="2"/>
      </w:pPr>
      <w:r>
        <w:rPr>
          <w:rFonts w:ascii="仿宋_GB2312" w:hAnsi="仿宋_GB2312" w:cs="仿宋_GB2312" w:eastAsia="仿宋_GB2312"/>
          <w:sz w:val="28"/>
          <w:b/>
        </w:rPr>
        <w:t>商洛市中心医院</w:t>
      </w:r>
    </w:p>
    <w:p>
      <w:pPr>
        <w:pStyle w:val="null3"/>
        <w:jc w:val="center"/>
        <w:outlineLvl w:val="2"/>
      </w:pPr>
      <w:r>
        <w:rPr>
          <w:rFonts w:ascii="仿宋_GB2312" w:hAnsi="仿宋_GB2312" w:cs="仿宋_GB2312" w:eastAsia="仿宋_GB2312"/>
          <w:sz w:val="28"/>
          <w:b/>
        </w:rPr>
        <w:t>正大方略工程咨询有限公司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2026年01月12日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正大方略工程咨询有限公司</w:t>
      </w:r>
      <w:r>
        <w:rPr>
          <w:rFonts w:ascii="仿宋_GB2312" w:hAnsi="仿宋_GB2312" w:cs="仿宋_GB2312" w:eastAsia="仿宋_GB2312"/>
        </w:rPr>
        <w:t>（以下简称“代理机构”）受</w:t>
      </w:r>
      <w:r>
        <w:rPr>
          <w:rFonts w:ascii="仿宋_GB2312" w:hAnsi="仿宋_GB2312" w:cs="仿宋_GB2312" w:eastAsia="仿宋_GB2312"/>
        </w:rPr>
        <w:t>商洛市中心医院</w:t>
      </w:r>
      <w:r>
        <w:rPr>
          <w:rFonts w:ascii="仿宋_GB2312" w:hAnsi="仿宋_GB2312" w:cs="仿宋_GB2312" w:eastAsia="仿宋_GB2312"/>
        </w:rPr>
        <w:t>委托，拟对</w:t>
      </w:r>
      <w:r>
        <w:rPr>
          <w:rFonts w:ascii="仿宋_GB2312" w:hAnsi="仿宋_GB2312" w:cs="仿宋_GB2312" w:eastAsia="仿宋_GB2312"/>
        </w:rPr>
        <w:t>病理科通风系统改造项目（二次）</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ZDSL25-104Z（二次）</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病理科通风系统改造项目（二次）</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商洛市中心医院病理科通风系统改造项目，位于商洛市中心医院。原有AHU-401,AHU-402机组无除湿功能,本次设计增加一台带除湿功能的新风机组,为原有AHU-401,AHU-402机组送新风。主要包含土建工程、电气工程等内容。</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资质证明：供应商须具备建设行政主管部门颁发的建筑机电安装工程专业承包三级及以上资质；具备有效的安全生产许可证。提供供应商基本信息在“陕西省建筑市场监管与诚信信息一体化平台”登记备案网页截屏资料。</w:t>
      </w:r>
    </w:p>
    <w:p>
      <w:pPr>
        <w:pStyle w:val="null3"/>
      </w:pPr>
      <w:r>
        <w:rPr>
          <w:rFonts w:ascii="仿宋_GB2312" w:hAnsi="仿宋_GB2312" w:cs="仿宋_GB2312" w:eastAsia="仿宋_GB2312"/>
        </w:rPr>
        <w:t>2、项目经理资质：拟派项目经理具备机电工程专业二级及以上注册建造师证书，具备有效的安全生产考核合格证书（B证），在本单位注册，且未担任其他在建工程项目的项目经理。提供供应商拟派项目经理基本信息在“陕西省建筑市场监管与诚信信息一体化平台”登记备案网页截屏资料。</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pPr>
      <w:r>
        <w:rPr>
          <w:rFonts w:ascii="仿宋_GB2312" w:hAnsi="仿宋_GB2312" w:cs="仿宋_GB2312" w:eastAsia="仿宋_GB2312"/>
        </w:rPr>
        <w:t>注：获取的磋商文件主体格式包括pdf、word两种格式版本，其中以pdf格式为准。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商洛市中心医院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陕西省商洛市商州区商鞅大道37号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金老师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0914-2180023</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正大方略工程咨询有限公司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陕西省商洛市商州区民生路全兴紫苑10、11号商铺三楼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马一妃</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15309181965</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商洛市财政局政府采购管理科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0914-2330993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采购包1：723,000.00元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 xml:space="preserve"> 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产品属于节能产品政府采购品目清单中应强制采购的产品范围，供应商应当按照第六章强制、优先采购产品承诺函格式进行承诺，否则作无效响应处理。</w:t>
            </w:r>
          </w:p>
          <w:p>
            <w:pPr>
              <w:pStyle w:val="null3"/>
            </w:pPr>
            <w:r>
              <w:rPr>
                <w:rFonts w:ascii="仿宋_GB2312" w:hAnsi="仿宋_GB2312" w:cs="仿宋_GB2312" w:eastAsia="仿宋_GB2312"/>
              </w:rPr>
              <w:t>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产品属于环境标志产品政府采购品目清单中应优先采购的产品范围，供应商可根据第六章强制、优先采购产品承诺函格式要求承诺提供经认证的节能、环境标志产品。</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 核心产品清单详见第三章。 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 （实质性要求）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采购包1保证金金额：14,000.00元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开户名称：正大方略工程咨询有限公司商洛分公司</w:t>
            </w:r>
          </w:p>
          <w:p>
            <w:pPr>
              <w:pStyle w:val="null3"/>
            </w:pPr>
            <w:r>
              <w:rPr>
                <w:rFonts w:ascii="仿宋_GB2312" w:hAnsi="仿宋_GB2312" w:cs="仿宋_GB2312" w:eastAsia="仿宋_GB2312"/>
              </w:rPr>
              <w:t>开户银行：中国建设银行股份有限公司商洛秦韵教育城支行</w:t>
            </w:r>
          </w:p>
          <w:p>
            <w:pPr>
              <w:pStyle w:val="null3"/>
            </w:pPr>
            <w:r>
              <w:rPr>
                <w:rFonts w:ascii="仿宋_GB2312" w:hAnsi="仿宋_GB2312" w:cs="仿宋_GB2312" w:eastAsia="仿宋_GB2312"/>
              </w:rPr>
              <w:t>银行账号：61050167450000000287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质量保证金</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从提交首次响应文件截止之日起，不少于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采购代理服务费以成交价格为基础，参照《招标代理服务收费管理暂行办法》的通知（计价格[2002]1980号）和《关于招标代理服务收费有关问题的通知》（发改办价格[2003]857号）的有关规定下浮20%收取，具体收费金额将在成交公告中公布，在发出成交通知书前由成交供应商向代理机构一次性支付。 2、代理服务费可以采取现金、支票、银行汇票、电汇、网银等方式缴纳。 3、代理服务费缴纳信息： 银行户名：正大方略工程咨询有限公司商洛分公司 开户银行：中国建设银行股份有限公司商洛商州支行 账号：61050167410000000144</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20</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商洛市中心医院</w:t>
      </w:r>
      <w:r>
        <w:rPr>
          <w:rFonts w:ascii="仿宋_GB2312" w:hAnsi="仿宋_GB2312" w:cs="仿宋_GB2312" w:eastAsia="仿宋_GB2312"/>
        </w:rPr>
        <w:t>和</w:t>
      </w:r>
      <w:r>
        <w:rPr>
          <w:rFonts w:ascii="仿宋_GB2312" w:hAnsi="仿宋_GB2312" w:cs="仿宋_GB2312" w:eastAsia="仿宋_GB2312"/>
        </w:rPr>
        <w:t>正大方略工程咨询有限公司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商洛市中心医院</w:t>
      </w:r>
      <w:r>
        <w:rPr>
          <w:rFonts w:ascii="仿宋_GB2312" w:hAnsi="仿宋_GB2312" w:cs="仿宋_GB2312" w:eastAsia="仿宋_GB2312"/>
        </w:rPr>
        <w:t>负责解释。除上述磋商文件内容，其他内容由</w:t>
      </w:r>
      <w:r>
        <w:rPr>
          <w:rFonts w:ascii="仿宋_GB2312" w:hAnsi="仿宋_GB2312" w:cs="仿宋_GB2312" w:eastAsia="仿宋_GB2312"/>
        </w:rPr>
        <w:t>正大方略工程咨询有限公司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商洛市中心医院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正大方略工程咨询有限公司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本次采购活动的基本依据，也是供应商准备响应文件、参加采购活动的依据。磋商文件包括资格预审文件、磋商邀请、采购方式、采购预算、采购需求、政府采购政策要求、评审程序、评审方法、评审标准、价格构成或者报价要求、响应文件编制要求、磋商过程中可能实质性变动内容、响应文件提交的截止时间、开启时间及地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pPr>
      <w:r>
        <w:rPr>
          <w:rFonts w:ascii="仿宋_GB2312" w:hAnsi="仿宋_GB2312" w:cs="仿宋_GB2312" w:eastAsia="仿宋_GB2312"/>
        </w:rPr>
        <w:t>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视其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因专利权、商标权或其它知识产权而引起法律和经济纠纷，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 xml:space="preserve"> 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一、供应商应认真核实本项目的工程量清单。</w:t>
      </w:r>
    </w:p>
    <w:p>
      <w:pPr>
        <w:pStyle w:val="null3"/>
        <w:ind w:firstLine="480"/>
      </w:pPr>
      <w:r>
        <w:rPr>
          <w:rFonts w:ascii="仿宋_GB2312" w:hAnsi="仿宋_GB2312" w:cs="仿宋_GB2312" w:eastAsia="仿宋_GB2312"/>
        </w:rPr>
        <w:t>二、供应商的报价是其响应本项目要求的全部工作内容的价格体现，包括供应商完成本项目所需的一切费用。</w:t>
      </w:r>
    </w:p>
    <w:p>
      <w:pPr>
        <w:pStyle w:val="null3"/>
        <w:ind w:firstLine="480"/>
      </w:pPr>
      <w:r>
        <w:rPr>
          <w:rFonts w:ascii="仿宋_GB2312" w:hAnsi="仿宋_GB2312" w:cs="仿宋_GB2312" w:eastAsia="仿宋_GB2312"/>
        </w:rPr>
        <w:t>三、本项目合同价格形式为如下：</w:t>
      </w:r>
    </w:p>
    <w:p>
      <w:pPr>
        <w:pStyle w:val="null3"/>
      </w:pPr>
      <w:r>
        <w:rPr>
          <w:rFonts w:ascii="仿宋_GB2312" w:hAnsi="仿宋_GB2312" w:cs="仿宋_GB2312" w:eastAsia="仿宋_GB2312"/>
        </w:rPr>
        <w:t>采购包1：项目单价</w:t>
      </w:r>
    </w:p>
    <w:p>
      <w:pPr>
        <w:pStyle w:val="null3"/>
      </w:pPr>
      <w:r>
        <w:rPr>
          <w:rFonts w:ascii="仿宋_GB2312" w:hAnsi="仿宋_GB2312" w:cs="仿宋_GB2312" w:eastAsia="仿宋_GB2312"/>
        </w:rPr>
        <w:t>项目单价。</w:t>
      </w:r>
    </w:p>
    <w:p>
      <w:pPr>
        <w:pStyle w:val="null3"/>
      </w:pPr>
      <w:r>
        <w:rPr>
          <w:rFonts w:ascii="仿宋_GB2312" w:hAnsi="仿宋_GB2312" w:cs="仿宋_GB2312" w:eastAsia="仿宋_GB2312"/>
        </w:rPr>
        <w:t>供应商在首次提交的响应文件中的报价（即首次报价）应按采购文件及工程量清单编制要求，逐一列出报价的构成及明细，并提供已标价工程量清单。已标价工程量清单的扉页(仅指投标总价扉页)应由注册或登记的造价人员签字并盖执业印章。</w:t>
      </w:r>
    </w:p>
    <w:p>
      <w:pPr>
        <w:pStyle w:val="null3"/>
      </w:pPr>
      <w:r>
        <w:rPr>
          <w:rFonts w:ascii="仿宋_GB2312" w:hAnsi="仿宋_GB2312" w:cs="仿宋_GB2312" w:eastAsia="仿宋_GB2312"/>
        </w:rPr>
        <w:t>供应商提交的已标价工程量清单应符合本项目工程量清单以及清单说明的要求。当供应商的已标价工程量清单有下列情形之一的，应按照无效响应文件处理。</w:t>
      </w:r>
    </w:p>
    <w:p>
      <w:pPr>
        <w:pStyle w:val="null3"/>
      </w:pPr>
      <w:r>
        <w:rPr>
          <w:rFonts w:ascii="仿宋_GB2312" w:hAnsi="仿宋_GB2312" w:cs="仿宋_GB2312" w:eastAsia="仿宋_GB2312"/>
        </w:rPr>
        <w:t>（一）供应商对工程量清单中的分部分项工程量清单项目（说明：根据建筑、水利、交通等确定具体表述）的单价未填报或填报为零的，视为未完全响应工程量清单，作无效处理；</w:t>
      </w:r>
    </w:p>
    <w:p>
      <w:pPr>
        <w:pStyle w:val="null3"/>
      </w:pPr>
      <w:r>
        <w:rPr>
          <w:rFonts w:ascii="仿宋_GB2312" w:hAnsi="仿宋_GB2312" w:cs="仿宋_GB2312" w:eastAsia="仿宋_GB2312"/>
        </w:rPr>
        <w:t>（二）已标价工程量清单的项目编码、项目名称、项目特征（与采购人提供的工程量清单中的项目特征的实质性内容一致的除外）、计量单位、工程量与采购人提供的工程量清单不一致的；</w:t>
      </w:r>
    </w:p>
    <w:p>
      <w:pPr>
        <w:pStyle w:val="null3"/>
      </w:pPr>
      <w:r>
        <w:rPr>
          <w:rFonts w:ascii="仿宋_GB2312" w:hAnsi="仿宋_GB2312" w:cs="仿宋_GB2312" w:eastAsia="仿宋_GB2312"/>
        </w:rPr>
        <w:t>（三）采购文件已明确各单位工程安全文明施工费中的环境保护费、文明施工费、安全施工费、临时设施费金额并要求按此金额填报而供应商填报错误或未填报的，或供应商未按相关计价规定计取安全文明施工费的；</w:t>
      </w:r>
    </w:p>
    <w:p>
      <w:pPr>
        <w:pStyle w:val="null3"/>
      </w:pPr>
      <w:r>
        <w:rPr>
          <w:rFonts w:ascii="仿宋_GB2312" w:hAnsi="仿宋_GB2312" w:cs="仿宋_GB2312" w:eastAsia="仿宋_GB2312"/>
        </w:rPr>
        <w:t>（四）采购文件已明确各单位工程规费金额并要求按此金额填报而供应商填报错误或未填报的，或供应商未按相关计价规定计取规费的；</w:t>
      </w:r>
    </w:p>
    <w:p>
      <w:pPr>
        <w:pStyle w:val="null3"/>
      </w:pPr>
      <w:r>
        <w:rPr>
          <w:rFonts w:ascii="仿宋_GB2312" w:hAnsi="仿宋_GB2312" w:cs="仿宋_GB2312" w:eastAsia="仿宋_GB2312"/>
        </w:rPr>
        <w:t>（五）采购文件若已明确创优质工程奖补偿奖励费金额并要求按此金额填报而供应商填报错误或未填报的；</w:t>
      </w:r>
    </w:p>
    <w:p>
      <w:pPr>
        <w:pStyle w:val="null3"/>
      </w:pPr>
      <w:r>
        <w:rPr>
          <w:rFonts w:ascii="仿宋_GB2312" w:hAnsi="仿宋_GB2312" w:cs="仿宋_GB2312" w:eastAsia="仿宋_GB2312"/>
        </w:rPr>
        <w:t>（六）已标价工程量清单中暂列金额未按工程量清单中列明的金额填报的；</w:t>
      </w:r>
    </w:p>
    <w:p>
      <w:pPr>
        <w:pStyle w:val="null3"/>
      </w:pPr>
      <w:r>
        <w:rPr>
          <w:rFonts w:ascii="仿宋_GB2312" w:hAnsi="仿宋_GB2312" w:cs="仿宋_GB2312" w:eastAsia="仿宋_GB2312"/>
        </w:rPr>
        <w:t>（七）已标价工程量清单中材料、工程设备暂估价未按工程量清单中列出的单价计入综合单价的；</w:t>
      </w:r>
    </w:p>
    <w:p>
      <w:pPr>
        <w:pStyle w:val="null3"/>
      </w:pPr>
      <w:r>
        <w:rPr>
          <w:rFonts w:ascii="仿宋_GB2312" w:hAnsi="仿宋_GB2312" w:cs="仿宋_GB2312" w:eastAsia="仿宋_GB2312"/>
        </w:rPr>
        <w:t>（八）已标价工程量清单中专业工程暂估价未按工程量清单中列明的金额填写的；</w:t>
      </w:r>
    </w:p>
    <w:p>
      <w:pPr>
        <w:pStyle w:val="null3"/>
      </w:pPr>
      <w:r>
        <w:rPr>
          <w:rFonts w:ascii="仿宋_GB2312" w:hAnsi="仿宋_GB2312" w:cs="仿宋_GB2312" w:eastAsia="仿宋_GB2312"/>
        </w:rPr>
        <w:t>（九）已标价工程量清单中计日工未按工程量清单中列明的数量进行报价的；</w:t>
      </w:r>
    </w:p>
    <w:p>
      <w:pPr>
        <w:pStyle w:val="null3"/>
      </w:pPr>
      <w:r>
        <w:rPr>
          <w:rFonts w:ascii="仿宋_GB2312" w:hAnsi="仿宋_GB2312" w:cs="仿宋_GB2312" w:eastAsia="仿宋_GB2312"/>
        </w:rPr>
        <w:t>（十）单价、合价或总价，不论其大写金额或小写金额均只能有一个，否则，作无效处理。</w:t>
      </w:r>
    </w:p>
    <w:p>
      <w:pPr>
        <w:pStyle w:val="null3"/>
      </w:pPr>
      <w:r>
        <w:rPr>
          <w:rFonts w:ascii="仿宋_GB2312" w:hAnsi="仿宋_GB2312" w:cs="仿宋_GB2312" w:eastAsia="仿宋_GB2312"/>
        </w:rPr>
        <w:t>若供应商的最后报价只有一个总价，则供应商应当提交相应调整部分的报价构成及明细，并结合首次报价提供的已标价工程量清单，重新计算总报价。</w:t>
      </w:r>
    </w:p>
    <w:p>
      <w:pPr>
        <w:pStyle w:val="null3"/>
      </w:pPr>
      <w:r>
        <w:rPr>
          <w:rFonts w:ascii="仿宋_GB2312" w:hAnsi="仿宋_GB2312" w:cs="仿宋_GB2312" w:eastAsia="仿宋_GB2312"/>
        </w:rPr>
        <w:t>供应商报价超过政府采购预算或最高限价（金额详见“供应商须知前附表”）的，其响应文件按无效处理。</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三、供应商完成响应文件编制后，应按照磋商文件第1章明确的签章要求，使用互认的证书及签章对响应文件进行电子签章和加密。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pPr>
      <w:r>
        <w:rPr>
          <w:rFonts w:ascii="仿宋_GB2312" w:hAnsi="仿宋_GB2312" w:cs="仿宋_GB2312" w:eastAsia="仿宋_GB2312"/>
        </w:rPr>
        <w:t>响应文件开启时间前，供应商登录项目电子化交易系统-“开标/开启大厅”，等待代理机构开启磋商。</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采购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 xml:space="preserve"> 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 xml:space="preserve"> 一、成交供应商与采购人签订合同后，合同双方应严格执行合同条款，履行合同规定的义务，保证合同的顺利完成。</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一、按照磋商文件要求及合同约定执行</w:t>
      </w:r>
    </w:p>
    <w:p>
      <w:pPr>
        <w:pStyle w:val="null3"/>
        <w:ind w:firstLine="480"/>
      </w:pPr>
      <w:r>
        <w:rPr>
          <w:rFonts w:ascii="仿宋_GB2312" w:hAnsi="仿宋_GB2312" w:cs="仿宋_GB2312" w:eastAsia="仿宋_GB2312"/>
        </w:rPr>
        <w:t xml:space="preserve"> 二、交付竣工验收的工程，必须符合规定的工程质量标准，有完整的工程技术经济资料和经签署的工程保修书，并具备国家规定的其他竣工条件。 工程竣工经验收合格后，方可交付使用；未经验收或者验收不合格的，不得交付使用</w:t>
      </w:r>
    </w:p>
    <w:p>
      <w:pPr>
        <w:pStyle w:val="null3"/>
        <w:ind w:firstLine="480"/>
      </w:pPr>
      <w:r>
        <w:rPr>
          <w:rFonts w:ascii="仿宋_GB2312" w:hAnsi="仿宋_GB2312" w:cs="仿宋_GB2312" w:eastAsia="仿宋_GB2312"/>
        </w:rPr>
        <w:t>三、验收结果合格的，采购人应向成交供应商出具履约验收报告，成交供应商凭验收报告办理相关手续。</w:t>
      </w:r>
    </w:p>
    <w:p>
      <w:pPr>
        <w:pStyle w:val="null3"/>
        <w:ind w:firstLine="480"/>
      </w:pPr>
      <w:r>
        <w:rPr>
          <w:rFonts w:ascii="仿宋_GB2312" w:hAnsi="仿宋_GB2312" w:cs="仿宋_GB2312" w:eastAsia="仿宋_GB2312"/>
        </w:rPr>
        <w:t xml:space="preserve"> 四、验收结果不合格的，履约保证金将不予退还，给采购人造成的损失超过履约保证金数额的，还应当对超过部分予以赔偿；没有提交履约保证金的，应当对采购人的损失承担赔偿责任。</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采购人将按照政府采购合同规定，及时向成交供应商支付采购资金。</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根据委托代理协议约定，供应商对采购文件的询问、质疑由 </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负责答复；供应商对采购过程的询问、质疑由</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负责答复；供应商对采购结果的询问、质疑由 </w:t>
      </w:r>
      <w:r>
        <w:rPr>
          <w:rFonts w:ascii="仿宋_GB2312" w:hAnsi="仿宋_GB2312" w:cs="仿宋_GB2312" w:eastAsia="仿宋_GB2312"/>
        </w:rPr>
        <w:t>正大方略工程咨询有限公司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采购文件、采购过程、成交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pPr>
      <w:r>
        <w:rPr>
          <w:rFonts w:ascii="仿宋_GB2312" w:hAnsi="仿宋_GB2312" w:cs="仿宋_GB2312" w:eastAsia="仿宋_GB2312"/>
        </w:rPr>
        <w:t>（一）对可以质疑的采购文件提出质疑的，为收到采购文件之日或者采购文件公告期限届满之日；</w:t>
      </w:r>
    </w:p>
    <w:p>
      <w:pPr>
        <w:pStyle w:val="null3"/>
        <w:ind w:firstLine="480"/>
      </w:pPr>
      <w:r>
        <w:rPr>
          <w:rFonts w:ascii="仿宋_GB2312" w:hAnsi="仿宋_GB2312" w:cs="仿宋_GB2312" w:eastAsia="仿宋_GB2312"/>
        </w:rPr>
        <w:t>（二）对采购过程提出质疑的，为各采购程序环节结束之日；</w:t>
      </w:r>
    </w:p>
    <w:p>
      <w:pPr>
        <w:pStyle w:val="null3"/>
        <w:ind w:firstLine="480"/>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联系人：马一妃</w:t>
      </w:r>
    </w:p>
    <w:p>
      <w:pPr>
        <w:pStyle w:val="null3"/>
      </w:pPr>
      <w:r>
        <w:rPr>
          <w:rFonts w:ascii="仿宋_GB2312" w:hAnsi="仿宋_GB2312" w:cs="仿宋_GB2312" w:eastAsia="仿宋_GB2312"/>
        </w:rPr>
        <w:t>联系电话：15309181965</w:t>
      </w:r>
    </w:p>
    <w:p>
      <w:pPr>
        <w:pStyle w:val="null3"/>
      </w:pPr>
      <w:r>
        <w:rPr>
          <w:rFonts w:ascii="仿宋_GB2312" w:hAnsi="仿宋_GB2312" w:cs="仿宋_GB2312" w:eastAsia="仿宋_GB2312"/>
        </w:rPr>
        <w:t>地址：陕西省商洛市商州区民生路全兴紫苑10、11号商铺三楼</w:t>
      </w:r>
    </w:p>
    <w:p>
      <w:pPr>
        <w:pStyle w:val="null3"/>
      </w:pPr>
      <w:r>
        <w:rPr>
          <w:rFonts w:ascii="仿宋_GB2312" w:hAnsi="仿宋_GB2312" w:cs="仿宋_GB2312" w:eastAsia="仿宋_GB2312"/>
        </w:rPr>
        <w:t>邮编：726000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723,000.00</w:t>
      </w:r>
    </w:p>
    <w:p>
      <w:pPr>
        <w:pStyle w:val="null3"/>
      </w:pPr>
      <w:r>
        <w:rPr>
          <w:rFonts w:ascii="仿宋_GB2312" w:hAnsi="仿宋_GB2312" w:cs="仿宋_GB2312" w:eastAsia="仿宋_GB2312"/>
        </w:rPr>
        <w:t>采购包最高限价（元）: 723,000.00</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rFonts w:ascii="仿宋_GB2312" w:hAnsi="仿宋_GB2312" w:cs="仿宋_GB2312" w:eastAsia="仿宋_GB2312"/>
              </w:rPr>
              <w:t>序号</w:t>
            </w:r>
          </w:p>
        </w:tc>
        <w:tc>
          <w:tcPr>
            <w:tcW w:type="dxa" w:w="1384"/>
          </w:tcPr>
          <w:p>
            <w:pPr>
              <w:pStyle w:val="null3"/>
            </w:pPr>
            <w:r>
              <w:rPr>
                <w:rFonts w:ascii="仿宋_GB2312" w:hAnsi="仿宋_GB2312" w:cs="仿宋_GB2312" w:eastAsia="仿宋_GB2312"/>
              </w:rPr>
              <w:t>标的名称</w:t>
            </w:r>
          </w:p>
        </w:tc>
        <w:tc>
          <w:tcPr>
            <w:tcW w:type="dxa" w:w="1384"/>
          </w:tcPr>
          <w:p>
            <w:pPr>
              <w:pStyle w:val="null3"/>
            </w:pPr>
            <w:r>
              <w:rPr>
                <w:rFonts w:ascii="仿宋_GB2312" w:hAnsi="仿宋_GB2312" w:cs="仿宋_GB2312" w:eastAsia="仿宋_GB2312"/>
              </w:rPr>
              <w:t>数量</w:t>
            </w:r>
          </w:p>
        </w:tc>
        <w:tc>
          <w:tcPr>
            <w:tcW w:type="dxa" w:w="1384"/>
          </w:tcPr>
          <w:p>
            <w:pPr>
              <w:pStyle w:val="null3"/>
            </w:pPr>
            <w:r>
              <w:rPr>
                <w:rFonts w:ascii="仿宋_GB2312" w:hAnsi="仿宋_GB2312" w:cs="仿宋_GB2312" w:eastAsia="仿宋_GB2312"/>
              </w:rPr>
              <w:t>标的金额 （元）</w:t>
            </w:r>
          </w:p>
        </w:tc>
        <w:tc>
          <w:tcPr>
            <w:tcW w:type="dxa" w:w="1384"/>
          </w:tcPr>
          <w:p>
            <w:pPr>
              <w:pStyle w:val="null3"/>
            </w:pPr>
            <w:r>
              <w:rPr>
                <w:rFonts w:ascii="仿宋_GB2312" w:hAnsi="仿宋_GB2312" w:cs="仿宋_GB2312" w:eastAsia="仿宋_GB2312"/>
              </w:rPr>
              <w:t>计量单位</w:t>
            </w:r>
          </w:p>
        </w:tc>
        <w:tc>
          <w:tcPr>
            <w:tcW w:type="dxa" w:w="1384"/>
          </w:tcPr>
          <w:p>
            <w:pPr>
              <w:pStyle w:val="null3"/>
            </w:pPr>
            <w:r>
              <w:rPr>
                <w:rFonts w:ascii="仿宋_GB2312" w:hAnsi="仿宋_GB2312" w:cs="仿宋_GB2312" w:eastAsia="仿宋_GB2312"/>
              </w:rPr>
              <w:t>所属行业</w:t>
            </w:r>
          </w:p>
        </w:tc>
      </w:tr>
      <w:tr>
        <w:tc>
          <w:tcPr>
            <w:tcW w:type="dxa" w:w="1384"/>
          </w:tcPr>
          <w:p>
            <w:pPr>
              <w:pStyle w:val="null3"/>
            </w:pPr>
            <w:r>
              <w:rPr>
                <w:rFonts w:ascii="仿宋_GB2312" w:hAnsi="仿宋_GB2312" w:cs="仿宋_GB2312" w:eastAsia="仿宋_GB2312"/>
              </w:rPr>
              <w:t>1</w:t>
            </w:r>
          </w:p>
        </w:tc>
        <w:tc>
          <w:tcPr>
            <w:tcW w:type="dxa" w:w="1384"/>
          </w:tcPr>
          <w:p>
            <w:pPr>
              <w:pStyle w:val="null3"/>
            </w:pPr>
            <w:r>
              <w:rPr>
                <w:rFonts w:ascii="仿宋_GB2312" w:hAnsi="仿宋_GB2312" w:cs="仿宋_GB2312" w:eastAsia="仿宋_GB2312"/>
              </w:rPr>
              <w:t>723000.00</w:t>
            </w:r>
          </w:p>
        </w:tc>
        <w:tc>
          <w:tcPr>
            <w:tcW w:type="dxa" w:w="1384"/>
          </w:tcPr>
          <w:p>
            <w:pPr>
              <w:pStyle w:val="null3"/>
              <w:jc w:val="right"/>
            </w:pPr>
            <w:r>
              <w:rPr>
                <w:rFonts w:ascii="仿宋_GB2312" w:hAnsi="仿宋_GB2312" w:cs="仿宋_GB2312" w:eastAsia="仿宋_GB2312"/>
              </w:rPr>
              <w:t>1.00</w:t>
            </w:r>
          </w:p>
        </w:tc>
        <w:tc>
          <w:tcPr>
            <w:tcW w:type="dxa" w:w="1384"/>
          </w:tcPr>
          <w:p>
            <w:pPr>
              <w:pStyle w:val="null3"/>
              <w:jc w:val="right"/>
            </w:pPr>
            <w:r>
              <w:rPr>
                <w:rFonts w:ascii="仿宋_GB2312" w:hAnsi="仿宋_GB2312" w:cs="仿宋_GB2312" w:eastAsia="仿宋_GB2312"/>
              </w:rPr>
              <w:t>723,000.00</w:t>
            </w:r>
          </w:p>
        </w:tc>
        <w:tc>
          <w:tcPr>
            <w:tcW w:type="dxa" w:w="1384"/>
          </w:tcPr>
          <w:p>
            <w:pPr>
              <w:pStyle w:val="null3"/>
            </w:pPr>
            <w:r>
              <w:rPr>
                <w:rFonts w:ascii="仿宋_GB2312" w:hAnsi="仿宋_GB2312" w:cs="仿宋_GB2312" w:eastAsia="仿宋_GB2312"/>
              </w:rPr>
              <w:t>项</w:t>
            </w:r>
          </w:p>
        </w:tc>
        <w:tc>
          <w:tcPr>
            <w:tcW w:type="dxa" w:w="1384"/>
          </w:tcPr>
          <w:p>
            <w:pPr>
              <w:pStyle w:val="null3"/>
            </w:pPr>
            <w:r>
              <w:rPr>
                <w:rFonts w:ascii="仿宋_GB2312" w:hAnsi="仿宋_GB2312" w:cs="仿宋_GB2312" w:eastAsia="仿宋_GB2312"/>
              </w:rPr>
              <w:t>建筑业</w:t>
            </w:r>
          </w:p>
        </w:tc>
      </w:tr>
    </w:tbl>
    <w:p>
      <w:pPr>
        <w:pStyle w:val="null3"/>
        <w:ind w:firstLine="480"/>
      </w:pPr>
      <w:r>
        <w:rPr>
          <w:rFonts w:ascii="仿宋_GB2312" w:hAnsi="仿宋_GB2312" w:cs="仿宋_GB2312" w:eastAsia="仿宋_GB2312"/>
        </w:rPr>
        <w:t>一、技术、服务标准和要求：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标的名称：723000.00</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spacing w:before="90"/>
            </w:pPr>
            <w:r>
              <w:rPr>
                <w:rFonts w:ascii="仿宋_GB2312" w:hAnsi="仿宋_GB2312" w:cs="仿宋_GB2312" w:eastAsia="仿宋_GB2312"/>
                <w:sz w:val="19"/>
              </w:rPr>
              <w:t>一、项目概况</w:t>
            </w:r>
          </w:p>
          <w:p>
            <w:pPr>
              <w:pStyle w:val="null3"/>
            </w:pPr>
            <w:r>
              <w:rPr>
                <w:rFonts w:ascii="仿宋_GB2312" w:hAnsi="仿宋_GB2312" w:cs="仿宋_GB2312" w:eastAsia="仿宋_GB2312"/>
              </w:rPr>
              <w:t>商洛市中心医院病理科通风系统改造项目，位于商洛市中心医院。原有</w:t>
            </w:r>
            <w:r>
              <w:rPr>
                <w:rFonts w:ascii="仿宋_GB2312" w:hAnsi="仿宋_GB2312" w:cs="仿宋_GB2312" w:eastAsia="仿宋_GB2312"/>
              </w:rPr>
              <w:t>AHU-401,AHU-402机组无除湿功能,本次设计增加一台带除湿功能的新风机组,为原有AHU-401,AHU-402机组送新风。</w:t>
            </w:r>
            <w:r>
              <w:rPr>
                <w:rFonts w:ascii="仿宋_GB2312" w:hAnsi="仿宋_GB2312" w:cs="仿宋_GB2312" w:eastAsia="仿宋_GB2312"/>
              </w:rPr>
              <w:t>主要包含安装工程、电气工程等内容。</w:t>
            </w:r>
          </w:p>
          <w:p>
            <w:pPr>
              <w:pStyle w:val="null3"/>
              <w:spacing w:before="90"/>
            </w:pPr>
            <w:r>
              <w:rPr>
                <w:rFonts w:ascii="仿宋_GB2312" w:hAnsi="仿宋_GB2312" w:cs="仿宋_GB2312" w:eastAsia="仿宋_GB2312"/>
              </w:rPr>
              <w:t>二、采购范围</w:t>
            </w:r>
          </w:p>
          <w:p>
            <w:pPr>
              <w:pStyle w:val="null3"/>
            </w:pPr>
            <w:r>
              <w:rPr>
                <w:rFonts w:ascii="仿宋_GB2312" w:hAnsi="仿宋_GB2312" w:cs="仿宋_GB2312" w:eastAsia="仿宋_GB2312"/>
              </w:rPr>
              <w:t>（</w:t>
            </w:r>
            <w:r>
              <w:rPr>
                <w:rFonts w:ascii="仿宋_GB2312" w:hAnsi="仿宋_GB2312" w:cs="仿宋_GB2312" w:eastAsia="仿宋_GB2312"/>
              </w:rPr>
              <w:t>1）</w:t>
            </w:r>
            <w:r>
              <w:rPr>
                <w:rFonts w:ascii="仿宋_GB2312" w:hAnsi="仿宋_GB2312" w:cs="仿宋_GB2312" w:eastAsia="仿宋_GB2312"/>
              </w:rPr>
              <w:t xml:space="preserve"> </w:t>
            </w:r>
            <w:r>
              <w:rPr>
                <w:rFonts w:ascii="仿宋_GB2312" w:hAnsi="仿宋_GB2312" w:cs="仿宋_GB2312" w:eastAsia="仿宋_GB2312"/>
              </w:rPr>
              <w:t>本次采购范围为商洛市中心医院病理科通风系统改造，具体包括但不限于以下内容：</w:t>
            </w:r>
          </w:p>
          <w:p>
            <w:pPr>
              <w:pStyle w:val="null3"/>
            </w:pPr>
            <w:r>
              <w:rPr>
                <w:rFonts w:ascii="仿宋_GB2312" w:hAnsi="仿宋_GB2312" w:cs="仿宋_GB2312" w:eastAsia="仿宋_GB2312"/>
              </w:rPr>
              <w:t>工程内容最终以竞争性磋商文件及工程量清单、磋商要求、</w:t>
            </w:r>
            <w:r>
              <w:rPr>
                <w:rFonts w:ascii="仿宋_GB2312" w:hAnsi="仿宋_GB2312" w:cs="仿宋_GB2312" w:eastAsia="仿宋_GB2312"/>
              </w:rPr>
              <w:t>施工图纸</w:t>
            </w:r>
            <w:r>
              <w:rPr>
                <w:rFonts w:ascii="仿宋_GB2312" w:hAnsi="仿宋_GB2312" w:cs="仿宋_GB2312" w:eastAsia="仿宋_GB2312"/>
              </w:rPr>
              <w:t>等标</w:t>
            </w:r>
            <w:r>
              <w:rPr>
                <w:rFonts w:ascii="仿宋_GB2312" w:hAnsi="仿宋_GB2312" w:cs="仿宋_GB2312" w:eastAsia="仿宋_GB2312"/>
              </w:rPr>
              <w:t>准为准。</w:t>
            </w:r>
          </w:p>
          <w:p>
            <w:pPr>
              <w:pStyle w:val="null3"/>
            </w:pPr>
            <w:r>
              <w:rPr>
                <w:rFonts w:ascii="仿宋_GB2312" w:hAnsi="仿宋_GB2312" w:cs="仿宋_GB2312" w:eastAsia="仿宋_GB2312"/>
              </w:rPr>
              <w:t>（</w:t>
            </w:r>
            <w:r>
              <w:rPr>
                <w:rFonts w:ascii="仿宋_GB2312" w:hAnsi="仿宋_GB2312" w:cs="仿宋_GB2312" w:eastAsia="仿宋_GB2312"/>
              </w:rPr>
              <w:t>2</w:t>
            </w:r>
            <w:r>
              <w:rPr>
                <w:rFonts w:ascii="仿宋_GB2312" w:hAnsi="仿宋_GB2312" w:cs="仿宋_GB2312" w:eastAsia="仿宋_GB2312"/>
              </w:rPr>
              <w:t>）其他未涉及内容按竞争性磋商文件要求执行。</w:t>
            </w:r>
          </w:p>
          <w:p>
            <w:pPr>
              <w:pStyle w:val="null3"/>
            </w:pPr>
            <w:r>
              <w:rPr>
                <w:rFonts w:ascii="仿宋_GB2312" w:hAnsi="仿宋_GB2312" w:cs="仿宋_GB2312" w:eastAsia="仿宋_GB2312"/>
              </w:rPr>
              <w:t>（二）工期：</w:t>
            </w:r>
            <w:r>
              <w:rPr>
                <w:rFonts w:ascii="仿宋_GB2312" w:hAnsi="仿宋_GB2312" w:cs="仿宋_GB2312" w:eastAsia="仿宋_GB2312"/>
              </w:rPr>
              <w:t>45</w:t>
            </w:r>
            <w:r>
              <w:rPr>
                <w:rFonts w:ascii="仿宋_GB2312" w:hAnsi="仿宋_GB2312" w:cs="仿宋_GB2312" w:eastAsia="仿宋_GB2312"/>
              </w:rPr>
              <w:t>日历天</w:t>
            </w:r>
          </w:p>
          <w:p>
            <w:pPr>
              <w:pStyle w:val="null3"/>
            </w:pPr>
            <w:r>
              <w:rPr>
                <w:rFonts w:ascii="仿宋_GB2312" w:hAnsi="仿宋_GB2312" w:cs="仿宋_GB2312" w:eastAsia="仿宋_GB2312"/>
              </w:rPr>
              <w:t>（三）质量：符合国家施工验收规范合格标准</w:t>
            </w:r>
          </w:p>
          <w:p>
            <w:pPr>
              <w:pStyle w:val="null3"/>
            </w:pPr>
            <w:r>
              <w:rPr>
                <w:rFonts w:ascii="仿宋_GB2312" w:hAnsi="仿宋_GB2312" w:cs="仿宋_GB2312" w:eastAsia="仿宋_GB2312"/>
              </w:rPr>
              <w:t>三、编制依据：</w:t>
            </w:r>
          </w:p>
          <w:p>
            <w:pPr>
              <w:pStyle w:val="null3"/>
            </w:pPr>
            <w:r>
              <w:rPr>
                <w:rFonts w:ascii="仿宋_GB2312" w:hAnsi="仿宋_GB2312" w:cs="仿宋_GB2312" w:eastAsia="仿宋_GB2312"/>
              </w:rPr>
              <w:t>1、建设单位提供设计图纸及设计答疑；</w:t>
            </w:r>
          </w:p>
          <w:p>
            <w:pPr>
              <w:pStyle w:val="null3"/>
            </w:pPr>
            <w:r>
              <w:rPr>
                <w:rFonts w:ascii="仿宋_GB2312" w:hAnsi="仿宋_GB2312" w:cs="仿宋_GB2312" w:eastAsia="仿宋_GB2312"/>
              </w:rPr>
              <w:t>1、《陕西省建设工程费用规则》（2025）；</w:t>
            </w:r>
          </w:p>
          <w:p>
            <w:pPr>
              <w:pStyle w:val="null3"/>
            </w:pPr>
            <w:r>
              <w:rPr>
                <w:rFonts w:ascii="仿宋_GB2312" w:hAnsi="仿宋_GB2312" w:cs="仿宋_GB2312" w:eastAsia="仿宋_GB2312"/>
              </w:rPr>
              <w:t>2、《陕西省市政工程计价表》（2025）；</w:t>
            </w:r>
          </w:p>
          <w:p>
            <w:pPr>
              <w:pStyle w:val="null3"/>
            </w:pPr>
            <w:r>
              <w:rPr>
                <w:rFonts w:ascii="仿宋_GB2312" w:hAnsi="仿宋_GB2312" w:cs="仿宋_GB2312" w:eastAsia="仿宋_GB2312"/>
              </w:rPr>
              <w:t>3、《陕西省市政工程消耗量定额（2025）；</w:t>
            </w:r>
          </w:p>
          <w:p>
            <w:pPr>
              <w:pStyle w:val="null3"/>
            </w:pPr>
            <w:r>
              <w:rPr>
                <w:rFonts w:ascii="仿宋_GB2312" w:hAnsi="仿宋_GB2312" w:cs="仿宋_GB2312" w:eastAsia="仿宋_GB2312"/>
              </w:rPr>
              <w:t>4、陕建管发〔2025〕10号《关于2025陕西省建设工程费用规则等计价依据》。</w:t>
            </w:r>
          </w:p>
          <w:p>
            <w:pPr>
              <w:pStyle w:val="null3"/>
            </w:pPr>
            <w:r>
              <w:rPr>
                <w:rFonts w:ascii="仿宋_GB2312" w:hAnsi="仿宋_GB2312" w:cs="仿宋_GB2312" w:eastAsia="仿宋_GB2312"/>
              </w:rPr>
              <w:t>5、人工费综合工种人工工日消耗量按照《陕西省市政工程消耗量定额（2025）》计算，一类工日单价155元/工日，二类工日单价185元/工日，三类工日单价215元/工日。</w:t>
            </w:r>
          </w:p>
          <w:p>
            <w:pPr>
              <w:pStyle w:val="null3"/>
            </w:pPr>
            <w:r>
              <w:rPr>
                <w:rFonts w:ascii="仿宋_GB2312" w:hAnsi="仿宋_GB2312" w:cs="仿宋_GB2312" w:eastAsia="仿宋_GB2312"/>
              </w:rPr>
              <w:t>6、材料价格参考《商洛工程造价管理信息2025年第2期》及当地现行市场价格。</w:t>
            </w:r>
          </w:p>
          <w:p>
            <w:pPr>
              <w:pStyle w:val="null3"/>
            </w:pPr>
            <w:r>
              <w:rPr>
                <w:rFonts w:ascii="仿宋_GB2312" w:hAnsi="仿宋_GB2312" w:cs="仿宋_GB2312" w:eastAsia="仿宋_GB2312"/>
              </w:rPr>
              <w:t>7、采用广联达云计价平台 GCCP7.0 版本7.5000.23.1</w:t>
            </w:r>
          </w:p>
          <w:p>
            <w:pPr>
              <w:pStyle w:val="null3"/>
            </w:pPr>
            <w:r>
              <w:rPr>
                <w:rFonts w:ascii="仿宋_GB2312" w:hAnsi="仿宋_GB2312" w:cs="仿宋_GB2312" w:eastAsia="仿宋_GB2312"/>
              </w:rPr>
              <w:t>四、磋商报价要求</w:t>
            </w:r>
          </w:p>
          <w:p>
            <w:pPr>
              <w:pStyle w:val="null3"/>
            </w:pPr>
            <w:r>
              <w:rPr>
                <w:rFonts w:ascii="仿宋_GB2312" w:hAnsi="仿宋_GB2312" w:cs="仿宋_GB2312" w:eastAsia="仿宋_GB2312"/>
              </w:rPr>
              <w:t>1、供应商应按采购人提供的工程量清单自主报价。填写的项目编码、项目名称、项目特征、计量单位、工程量必须与采购人提供的一致。</w:t>
            </w:r>
          </w:p>
          <w:p>
            <w:pPr>
              <w:pStyle w:val="null3"/>
            </w:pPr>
            <w:r>
              <w:rPr>
                <w:rFonts w:ascii="仿宋_GB2312" w:hAnsi="仿宋_GB2312" w:cs="仿宋_GB2312" w:eastAsia="仿宋_GB2312"/>
              </w:rPr>
              <w:t>2、磋商报价应是完成竞争性磋商文件和合同条款上所列采购工程范围及工期的全部，不得以任何理由予以重复，作为供应商计算单价或总价的依据。所有磋商报价中的单价和合价均以人民币表示。供应商在报价中所报的综合单价均包括完成该工程项目的人工费、材料费、机械使用费、管理费、利润及风险等与本工程有关的一切费用。且总价中已包含劳务、运输、施工、措施、管理、安装、检验、调试（含投料费）、验收交付、配合费、维护、协调、质保、利润、材料和设备的包装运输费、安全文明施工费、保修期服务费、增值税销项税额、附加税、风险、规费、保险与本项目有关的不可预见费等费用及合同包含的所有风险、责任及与本工程相关的所有费用。各供应商依据企业自身情况自主报价、竞争性磋商文件约定范围内风险自负。</w:t>
            </w:r>
          </w:p>
          <w:p>
            <w:pPr>
              <w:pStyle w:val="null3"/>
              <w:spacing w:after="45"/>
            </w:pPr>
            <w:r>
              <w:rPr>
                <w:rFonts w:ascii="仿宋_GB2312" w:hAnsi="仿宋_GB2312" w:cs="仿宋_GB2312" w:eastAsia="仿宋_GB2312"/>
              </w:rPr>
              <w:t>3.工程量清单报价表组成（以软件生成为准）</w:t>
            </w:r>
          </w:p>
          <w:p>
            <w:pPr>
              <w:pStyle w:val="null3"/>
              <w:spacing w:after="45"/>
            </w:pPr>
            <w:r>
              <w:rPr>
                <w:rFonts w:ascii="仿宋_GB2312" w:hAnsi="仿宋_GB2312" w:cs="仿宋_GB2312" w:eastAsia="仿宋_GB2312"/>
              </w:rPr>
              <w:t>（</w:t>
            </w:r>
            <w:r>
              <w:rPr>
                <w:rFonts w:ascii="仿宋_GB2312" w:hAnsi="仿宋_GB2312" w:cs="仿宋_GB2312" w:eastAsia="仿宋_GB2312"/>
              </w:rPr>
              <w:t>1）工程量清单报价表填写规定</w:t>
            </w:r>
          </w:p>
          <w:p>
            <w:pPr>
              <w:pStyle w:val="null3"/>
              <w:spacing w:after="45"/>
            </w:pPr>
            <w:r>
              <w:rPr>
                <w:rFonts w:ascii="仿宋_GB2312" w:hAnsi="仿宋_GB2312" w:cs="仿宋_GB2312" w:eastAsia="仿宋_GB2312"/>
              </w:rPr>
              <w:t>1）除磋商文件另有规定外，供应商不得随意增加、删除或涂改磋商文件工程量清单中的任何内容。工程量清单中列明的所有需要填写的单价和合价，供应商均应填写；未填写的单价和合价，视为已包括在工程量清单的其它单价和合价中。</w:t>
            </w:r>
          </w:p>
          <w:p>
            <w:pPr>
              <w:pStyle w:val="null3"/>
              <w:spacing w:after="45"/>
            </w:pPr>
            <w:r>
              <w:rPr>
                <w:rFonts w:ascii="仿宋_GB2312" w:hAnsi="仿宋_GB2312" w:cs="仿宋_GB2312" w:eastAsia="仿宋_GB2312"/>
              </w:rPr>
              <w:t>2）工程量清单中的工程单价是完成工程量清单中一个质量合格的规定计量单位项目所需的直接工程费、间接费、企业利润和税金，并考虑到风险因素。投标人应根据规定的工程单价组成内容确定工程单价。除另有规定外，对有效工程量以外的超挖、超填工程量，施工附加量，加工、运输损耗量等，所消耗的人工、材料和机械费用，均应摊人相应有效工程量的工程单价内。</w:t>
            </w:r>
          </w:p>
          <w:p>
            <w:pPr>
              <w:pStyle w:val="null3"/>
              <w:spacing w:after="45"/>
            </w:pPr>
            <w:r>
              <w:rPr>
                <w:rFonts w:ascii="仿宋_GB2312" w:hAnsi="仿宋_GB2312" w:cs="仿宋_GB2312" w:eastAsia="仿宋_GB2312"/>
              </w:rPr>
              <w:t>3）磋商总价应按工程项目总价表合计金额填写。</w:t>
            </w:r>
          </w:p>
          <w:p>
            <w:pPr>
              <w:pStyle w:val="null3"/>
              <w:spacing w:after="45"/>
            </w:pPr>
            <w:r>
              <w:rPr>
                <w:rFonts w:ascii="仿宋_GB2312" w:hAnsi="仿宋_GB2312" w:cs="仿宋_GB2312" w:eastAsia="仿宋_GB2312"/>
              </w:rPr>
              <w:t>4）工程项目总价表中组号和工程项目名称按招标文件工程量清单中的相应内容填写，并按分组工程量清单报价表中相应项目合计金额填写。</w:t>
            </w:r>
          </w:p>
          <w:p>
            <w:pPr>
              <w:pStyle w:val="null3"/>
              <w:spacing w:after="45"/>
            </w:pPr>
            <w:r>
              <w:rPr>
                <w:rFonts w:ascii="仿宋_GB2312" w:hAnsi="仿宋_GB2312" w:cs="仿宋_GB2312" w:eastAsia="仿宋_GB2312"/>
              </w:rPr>
              <w:t>5）分组工程量清单报价表中的序号、项目名称、计量单位、工程数量，按招标文件分组工程量清单报价表的相应内容填写，并填写相应项目的单价和合价。</w:t>
            </w:r>
          </w:p>
          <w:p>
            <w:pPr>
              <w:pStyle w:val="null3"/>
            </w:pPr>
            <w:r>
              <w:rPr>
                <w:rFonts w:ascii="仿宋_GB2312" w:hAnsi="仿宋_GB2312" w:cs="仿宋_GB2312" w:eastAsia="仿宋_GB2312"/>
              </w:rPr>
              <w:t>4、采购人鼓励供应商合理低价，但不保证最低价成交。</w:t>
            </w:r>
          </w:p>
          <w:p>
            <w:pPr>
              <w:pStyle w:val="null3"/>
            </w:pPr>
            <w:r>
              <w:rPr>
                <w:rFonts w:ascii="仿宋_GB2312" w:hAnsi="仿宋_GB2312" w:cs="仿宋_GB2312" w:eastAsia="仿宋_GB2312"/>
              </w:rPr>
              <w:t>五、其他说明：</w:t>
            </w:r>
          </w:p>
          <w:p>
            <w:pPr>
              <w:pStyle w:val="null3"/>
            </w:pPr>
            <w:r>
              <w:rPr>
                <w:rFonts w:ascii="仿宋_GB2312" w:hAnsi="仿宋_GB2312" w:cs="仿宋_GB2312" w:eastAsia="仿宋_GB2312"/>
              </w:rPr>
              <w:t>1、室外机基础，厚度按200mm计入。</w:t>
            </w:r>
          </w:p>
          <w:p>
            <w:pPr>
              <w:pStyle w:val="null3"/>
            </w:pPr>
            <w:r>
              <w:rPr>
                <w:rFonts w:ascii="仿宋_GB2312" w:hAnsi="仿宋_GB2312" w:cs="仿宋_GB2312" w:eastAsia="仿宋_GB2312"/>
              </w:rPr>
              <w:t>2、外墙干挂铝板，铝板的厚度按4mm计入。</w:t>
            </w:r>
          </w:p>
          <w:p>
            <w:pPr>
              <w:pStyle w:val="null3"/>
            </w:pPr>
            <w:r>
              <w:rPr>
                <w:rFonts w:ascii="仿宋_GB2312" w:hAnsi="仿宋_GB2312" w:cs="仿宋_GB2312" w:eastAsia="仿宋_GB2312"/>
              </w:rPr>
              <w:t>3、软化水管道按PPR塑料给水管道，排水管道按PVC塑料排水管道。</w:t>
            </w:r>
          </w:p>
          <w:p>
            <w:pPr>
              <w:pStyle w:val="null3"/>
            </w:pPr>
            <w:r>
              <w:rPr>
                <w:rFonts w:ascii="仿宋_GB2312" w:hAnsi="仿宋_GB2312" w:cs="仿宋_GB2312" w:eastAsia="仿宋_GB2312"/>
              </w:rPr>
              <w:t>4、风管保温做30mm厚橡塑保温板，铝箔玻璃布保护层。</w:t>
            </w:r>
          </w:p>
          <w:p>
            <w:pPr>
              <w:pStyle w:val="null3"/>
            </w:pPr>
            <w:r>
              <w:rPr>
                <w:rFonts w:ascii="仿宋_GB2312" w:hAnsi="仿宋_GB2312" w:cs="仿宋_GB2312" w:eastAsia="仿宋_GB2312"/>
              </w:rPr>
              <w:t>5、冷媒管保温采用橡塑管壳保温，冷媒管外径≤Φ12.7mm时，保温层厚度应达到15mm以上；而当冷媒管外径≥Φ15.9mm时，保温层厚度需达到20mm以上（铝箔玻璃布保护层）。</w:t>
            </w:r>
          </w:p>
          <w:p>
            <w:pPr>
              <w:pStyle w:val="null3"/>
            </w:pPr>
            <w:r>
              <w:rPr>
                <w:rFonts w:ascii="仿宋_GB2312" w:hAnsi="仿宋_GB2312" w:cs="仿宋_GB2312" w:eastAsia="仿宋_GB2312"/>
                <w:sz w:val="21"/>
              </w:rPr>
              <w:t>6、医用净化直膨组合式空调(新风)机组主材暂定355000.00元/台。(设备配备自控柜，不含机组到室外机电源电缆，其他包含于设备机组内。)</w:t>
            </w:r>
          </w:p>
        </w:tc>
      </w:tr>
    </w:tbl>
    <w:p>
      <w:pPr>
        <w:pStyle w:val="null3"/>
        <w:ind w:firstLine="480"/>
      </w:pPr>
      <w:r>
        <w:rPr>
          <w:rFonts w:ascii="仿宋_GB2312" w:hAnsi="仿宋_GB2312" w:cs="仿宋_GB2312" w:eastAsia="仿宋_GB2312"/>
        </w:rPr>
        <w:t>二、供应商针对本项目的施工，必须达到国家及行业现行技术规范标准，符合国家及行业验收合格标准：</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按国家有关验收规范和验评标准，工程质量达到合格标准。</w:t>
      </w:r>
    </w:p>
    <w:p>
      <w:pPr>
        <w:pStyle w:val="null3"/>
        <w:ind w:firstLine="480"/>
      </w:pPr>
      <w:r>
        <w:rPr>
          <w:rFonts w:ascii="仿宋_GB2312" w:hAnsi="仿宋_GB2312" w:cs="仿宋_GB2312" w:eastAsia="仿宋_GB2312"/>
        </w:rPr>
        <w:t>三、针对本项目的其他技术服务要求：</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四、工程量清单（详见附件）</w:t>
      </w:r>
    </w:p>
    <w:p>
      <w:pPr>
        <w:pStyle w:val="null3"/>
        <w:ind w:firstLine="480"/>
      </w:pPr>
      <w:r>
        <w:rPr>
          <w:rFonts w:ascii="仿宋_GB2312" w:hAnsi="仿宋_GB2312" w:cs="仿宋_GB2312" w:eastAsia="仿宋_GB2312"/>
        </w:rPr>
        <w:t xml:space="preserve"> （说明：工程量清单应当结合《政府采购需求管理办法》（财库〔2021〕22号）第六条第二款规定，明确相关性能、材料、结构、外观、安全、标准等。）</w:t>
      </w:r>
    </w:p>
    <w:p>
      <w:pPr>
        <w:pStyle w:val="null3"/>
        <w:outlineLvl w:val="2"/>
      </w:pPr>
      <w:r>
        <w:rPr>
          <w:rFonts w:ascii="仿宋_GB2312" w:hAnsi="仿宋_GB2312" w:cs="仿宋_GB2312" w:eastAsia="仿宋_GB2312"/>
          <w:sz w:val="28"/>
          <w:b/>
        </w:rPr>
        <w:t>3.2商务要求（说明：由采购人依据项目具体需求制定）</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序号</w:t>
            </w:r>
          </w:p>
        </w:tc>
        <w:tc>
          <w:tcPr>
            <w:tcW w:type="dxa" w:w="2769"/>
          </w:tcPr>
          <w:p>
            <w:pPr>
              <w:pStyle w:val="null3"/>
            </w:pPr>
            <w:r>
              <w:rPr>
                <w:rFonts w:ascii="仿宋_GB2312" w:hAnsi="仿宋_GB2312" w:cs="仿宋_GB2312" w:eastAsia="仿宋_GB2312"/>
              </w:rPr>
              <w:t>项目</w:t>
            </w:r>
          </w:p>
        </w:tc>
        <w:tc>
          <w:tcPr>
            <w:tcW w:type="dxa" w:w="2769"/>
          </w:tcPr>
          <w:p>
            <w:pPr>
              <w:pStyle w:val="null3"/>
            </w:pPr>
            <w:r>
              <w:rPr>
                <w:rFonts w:ascii="仿宋_GB2312" w:hAnsi="仿宋_GB2312" w:cs="仿宋_GB2312" w:eastAsia="仿宋_GB2312"/>
              </w:rPr>
              <w:t>要求</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项目负责人（项目经理）</w:t>
            </w:r>
          </w:p>
        </w:tc>
        <w:tc>
          <w:tcPr>
            <w:tcW w:type="dxa" w:w="2769"/>
          </w:tcPr>
          <w:p>
            <w:pPr>
              <w:pStyle w:val="null3"/>
            </w:pPr>
            <w:r>
              <w:rPr>
                <w:rFonts w:ascii="仿宋_GB2312" w:hAnsi="仿宋_GB2312" w:cs="仿宋_GB2312" w:eastAsia="仿宋_GB2312"/>
              </w:rPr>
              <w:t>具体要求详见资格审查条款</w:t>
            </w:r>
          </w:p>
        </w:tc>
      </w:tr>
    </w:tbl>
    <w:p>
      <w:pPr>
        <w:pStyle w:val="null3"/>
        <w:outlineLvl w:val="3"/>
      </w:pPr>
      <w:r>
        <w:rPr>
          <w:rFonts w:ascii="仿宋_GB2312" w:hAnsi="仿宋_GB2312" w:cs="仿宋_GB2312" w:eastAsia="仿宋_GB2312"/>
          <w:sz w:val="24"/>
          <w:b/>
        </w:rPr>
        <w:t>说明：</w:t>
      </w:r>
    </w:p>
    <w:p>
      <w:pPr>
        <w:pStyle w:val="null3"/>
        <w:ind w:firstLine="480"/>
      </w:pPr>
      <w:r>
        <w:rPr>
          <w:rFonts w:ascii="仿宋_GB2312" w:hAnsi="仿宋_GB2312" w:cs="仿宋_GB2312" w:eastAsia="仿宋_GB2312"/>
        </w:rPr>
        <w:t>1.对于不允许偏离的实质性要求和条件，采购人或者代理机构应当在磋商文件中规定，并以醒目的方式标明。</w:t>
      </w:r>
    </w:p>
    <w:p>
      <w:pPr>
        <w:pStyle w:val="null3"/>
        <w:ind w:firstLine="480"/>
      </w:pPr>
      <w:r>
        <w:rPr>
          <w:rFonts w:ascii="仿宋_GB2312" w:hAnsi="仿宋_GB2312" w:cs="仿宋_GB2312" w:eastAsia="仿宋_GB2312"/>
        </w:rPr>
        <w:t xml:space="preserve"> 2.除相关法律或行政法规或规章要求供应商在响应或磋商阶段提供检测报告的，不得要求供应商在响应、磋商阶段提供检测报告，如确实需要检测报告，可要求供应商承诺在签订合同阶段或项目实施阶段提供。</w:t>
      </w:r>
    </w:p>
    <w:p>
      <w:pPr>
        <w:pStyle w:val="null3"/>
        <w:ind w:firstLine="480"/>
      </w:pPr>
      <w:r>
        <w:rPr>
          <w:rFonts w:ascii="仿宋_GB2312" w:hAnsi="仿宋_GB2312" w:cs="仿宋_GB2312" w:eastAsia="仿宋_GB2312"/>
        </w:rPr>
        <w:t xml:space="preserve"> 3.若要求供应商提供相关人员的职业资格的，不得要求提供除现行《国家职业资格目录》以外的职业资格，不得以不合理条件对供应商实行差别待遇或者歧视性待遇。</w:t>
      </w:r>
    </w:p>
    <w:p>
      <w:pPr>
        <w:pStyle w:val="null3"/>
        <w:outlineLvl w:val="2"/>
      </w:pPr>
      <w:r>
        <w:rPr>
          <w:rFonts w:ascii="仿宋_GB2312" w:hAnsi="仿宋_GB2312" w:cs="仿宋_GB2312" w:eastAsia="仿宋_GB2312"/>
          <w:sz w:val="28"/>
          <w:b/>
        </w:rPr>
        <w:t>3.3其他要求</w:t>
      </w:r>
    </w:p>
    <w:p>
      <w:pPr>
        <w:pStyle w:val="null3"/>
      </w:pPr>
      <w:r>
        <w:rPr>
          <w:rFonts w:ascii="仿宋_GB2312" w:hAnsi="仿宋_GB2312" w:cs="仿宋_GB2312" w:eastAsia="仿宋_GB2312"/>
        </w:rPr>
        <w:t>1.为保障政府采购电子化交易平台项目实施，供应商需要在线提交所有通过电子化交易平台实施的政府采购项目的响应文件，成交供应商领取成交通知书时须提交响应文件正本壹套、副本贰套、电子版(U盘壹套）。纸质响应文件应与电子响应文件保持一致。递交文件地点:陕西省商洛市商州区民生路全兴紫苑10、11号商铺三楼经营部。 2.本项目所属行业为建筑业，中小企业划型标准如下：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供应商应符合《中华人民共和国政府采购法》第二十二条第一款规定，并按照《政府采购法实施条例》第十七条规定提供下列材料： （1）供应商应具有独立承担民事责任的能力：提供营业执照等证明文件；（2）提供法定代表人身份证明及授权委托书（法定代表人参与磋商的无须提供授权委托书）；（3）税收缴纳证明：提供投标人自磋商前1年以来已缴纳的任意时段的完税凭证或税务机关开具的完税证明（任意税种）；依法免税的应提供相关文件证明； （4）社会保障资金缴纳证明：提供供应商自磋商前1年以来已缴存的任意时段的社会保障资金缴存单据或社保机构开具的社会保险参保缴费情况证明；依法不需要缴纳社会保障资金的供应商应提供相关文件证明；（5）具备履行合同所必需的专业技术能力的证明；（6）供应商参加本次磋商前3年内，在经营活动中没有重大违法记录的书面声明；（7）提供供应商缴纳的磋商保证金凭证。</w:t>
            </w:r>
          </w:p>
        </w:tc>
        <w:tc>
          <w:tcPr>
            <w:tcW w:type="dxa" w:w="1661"/>
          </w:tcPr>
          <w:p>
            <w:pPr>
              <w:pStyle w:val="null3"/>
            </w:pPr>
            <w:r>
              <w:rPr>
                <w:rFonts w:ascii="仿宋_GB2312" w:hAnsi="仿宋_GB2312" w:cs="仿宋_GB2312" w:eastAsia="仿宋_GB2312"/>
              </w:rPr>
              <w:t>一般资格要求.docx 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提供2024年度经审计的供应商财务报告（包括 “四表一注”即《资产负债表》《利润表》《现金流量表》《所有者权益变动表》及其附注）或者提供响应文件截止时间3个月内其基本账户开户银行出具的资信证明。</w:t>
            </w:r>
          </w:p>
        </w:tc>
        <w:tc>
          <w:tcPr>
            <w:tcW w:type="dxa" w:w="1661"/>
          </w:tcPr>
          <w:p>
            <w:pPr>
              <w:pStyle w:val="null3"/>
            </w:pPr>
            <w:r>
              <w:rPr>
                <w:rFonts w:ascii="仿宋_GB2312" w:hAnsi="仿宋_GB2312" w:cs="仿宋_GB2312" w:eastAsia="仿宋_GB2312"/>
              </w:rPr>
              <w:t>财务状况报告.docx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供应商为采购人、代理机构在确定采购需求、编制采购文件过程中提供咨询论证，其提供的咨询论证意见成为采购文件中规定的供应商资格条件、技术服务商务要求、评审因素和标准、政府采购合同等实质性内容条款的，视同为采购项目提供规范编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供应商资质证明</w:t>
            </w:r>
          </w:p>
        </w:tc>
        <w:tc>
          <w:tcPr>
            <w:tcW w:type="dxa" w:w="3322"/>
          </w:tcPr>
          <w:p>
            <w:pPr>
              <w:pStyle w:val="null3"/>
            </w:pPr>
            <w:r>
              <w:rPr>
                <w:rFonts w:ascii="仿宋_GB2312" w:hAnsi="仿宋_GB2312" w:cs="仿宋_GB2312" w:eastAsia="仿宋_GB2312"/>
              </w:rPr>
              <w:t>供应商须具备建设行政主管部门颁发的建筑机电安装工程专业承包三级及以上资质；具备有效的安全生产许可证。提供供应商基本信息在“陕西省建筑市场监管与诚信信息一体化平台”登记备案网页截屏资料。</w:t>
            </w:r>
          </w:p>
        </w:tc>
        <w:tc>
          <w:tcPr>
            <w:tcW w:type="dxa" w:w="1661"/>
          </w:tcPr>
          <w:p>
            <w:pPr>
              <w:pStyle w:val="null3"/>
            </w:pPr>
            <w:r>
              <w:rPr>
                <w:rFonts w:ascii="仿宋_GB2312" w:hAnsi="仿宋_GB2312" w:cs="仿宋_GB2312" w:eastAsia="仿宋_GB2312"/>
              </w:rPr>
              <w:t>特殊资格要求.docx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项目经理资质</w:t>
            </w:r>
          </w:p>
        </w:tc>
        <w:tc>
          <w:tcPr>
            <w:tcW w:type="dxa" w:w="3322"/>
          </w:tcPr>
          <w:p>
            <w:pPr>
              <w:pStyle w:val="null3"/>
            </w:pPr>
            <w:r>
              <w:rPr>
                <w:rFonts w:ascii="仿宋_GB2312" w:hAnsi="仿宋_GB2312" w:cs="仿宋_GB2312" w:eastAsia="仿宋_GB2312"/>
              </w:rPr>
              <w:t>拟派项目经理具备机电工程专业二级及以上注册建造师证书，具备有效的安全生产考核合格证书（B证），在本单位注册，且未担任其他在建工程项目的项目经理。提供供应商拟派项目经理基本信息在“陕西省建筑市场监管与诚信信息一体化平台”登记备案网页截屏资料。</w:t>
            </w:r>
          </w:p>
        </w:tc>
        <w:tc>
          <w:tcPr>
            <w:tcW w:type="dxa" w:w="1661"/>
          </w:tcPr>
          <w:p>
            <w:pPr>
              <w:pStyle w:val="null3"/>
            </w:pPr>
            <w:r>
              <w:rPr>
                <w:rFonts w:ascii="仿宋_GB2312" w:hAnsi="仿宋_GB2312" w:cs="仿宋_GB2312" w:eastAsia="仿宋_GB2312"/>
              </w:rPr>
              <w:t>特殊资格要求.docx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ind w:firstLine="480"/>
      </w:pPr>
      <w:r>
        <w:rPr>
          <w:rFonts w:ascii="仿宋_GB2312" w:hAnsi="仿宋_GB2312" w:cs="仿宋_GB2312" w:eastAsia="仿宋_GB2312"/>
        </w:rPr>
        <w:t>注：工程量清单不属于磋商过程中可以实质性变动的内容。</w:t>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制度，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供应商通过证书加盖其电子印章后生效。出现无法在线签章的特殊情况，评审委员会成员可以线下签署评审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三、磋商小组按照磋商文件规定的磋商程序、评审方法和标准进行评审，并独立履行下列职责：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（一）磋商文件的规定存在歧义、重大缺陷，导致评审无法进行的；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出现上述应当停止评审情形的，磋商小组应当通过项目电子化交易系统向采购人提交情况说明。除上述情形外，磋商小组不得以任何方式和理由停止评审。</w:t>
      </w:r>
    </w:p>
    <w:p>
      <w:pPr>
        <w:pStyle w:val="null3"/>
        <w:ind w:firstLine="480"/>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一、磋商开始前，磋商小组对供应商首次提交的响应文件（包括报价）进行审查，审查内容为磋商文件不允许实质性变动的实质性要求，不符合实质性要求或应当作无效响应处理的，作无效响应处理。</w:t>
      </w:r>
    </w:p>
    <w:p>
      <w:pPr>
        <w:pStyle w:val="null3"/>
        <w:ind w:firstLine="480"/>
      </w:pPr>
      <w:r>
        <w:rPr>
          <w:rFonts w:ascii="仿宋_GB2312" w:hAnsi="仿宋_GB2312" w:cs="仿宋_GB2312" w:eastAsia="仿宋_GB2312"/>
        </w:rPr>
        <w:t>二、磋商小组对供应商已标价工程量清单进行算术性复核，如果出现下列不一致的，按以下原则进行修正：</w:t>
      </w:r>
    </w:p>
    <w:p>
      <w:pPr>
        <w:pStyle w:val="null3"/>
        <w:ind w:firstLine="480"/>
      </w:pPr>
      <w:r>
        <w:rPr>
          <w:rFonts w:ascii="仿宋_GB2312" w:hAnsi="仿宋_GB2312" w:cs="仿宋_GB2312" w:eastAsia="仿宋_GB2312"/>
        </w:rPr>
        <w:t xml:space="preserve"> （一）报价大写金额和小写金额不一致的，以大写金额为准。但大写金额文字存在错误的，应当先对大写金额的文字错误进行澄清、说明或者更正，再行修正。</w:t>
      </w:r>
    </w:p>
    <w:p>
      <w:pPr>
        <w:pStyle w:val="null3"/>
        <w:ind w:firstLine="480"/>
      </w:pPr>
      <w:r>
        <w:rPr>
          <w:rFonts w:ascii="仿宋_GB2312" w:hAnsi="仿宋_GB2312" w:cs="仿宋_GB2312" w:eastAsia="仿宋_GB2312"/>
        </w:rPr>
        <w:t xml:space="preserve"> （二）总价金额与依据单价（或费率）计算出的结果不一致的，以单价（或费率）为准修正总价，但单价（或费率）小数点有明显错误的除外（包括但不限于工程量清单、单位工程汇总表、单项工程汇总表、报价汇总表）。</w:t>
      </w:r>
    </w:p>
    <w:p>
      <w:pPr>
        <w:pStyle w:val="null3"/>
        <w:ind w:firstLine="480"/>
      </w:pPr>
      <w:r>
        <w:rPr>
          <w:rFonts w:ascii="仿宋_GB2312" w:hAnsi="仿宋_GB2312" w:cs="仿宋_GB2312" w:eastAsia="仿宋_GB2312"/>
        </w:rPr>
        <w:t xml:space="preserve"> 修正后的报价经供应商确认后产生约束力，供应商不确认的，其响应文件作为无效处理。供应商确认采取书面方式并经供应商授权代表签字。磋商小组不得未经书面形式要求供应商确认，直接将供应商响应文件作为无效处理。</w:t>
      </w:r>
    </w:p>
    <w:p>
      <w:pPr>
        <w:pStyle w:val="null3"/>
        <w:ind w:firstLine="480"/>
      </w:pPr>
      <w:r>
        <w:rPr>
          <w:rFonts w:ascii="仿宋_GB2312" w:hAnsi="仿宋_GB2312" w:cs="仿宋_GB2312" w:eastAsia="仿宋_GB2312"/>
        </w:rPr>
        <w:t xml:space="preserve"> 三、在符合性审查过程中，如果出现磋商小组成员意见不一致的情况，按照少数服从多数的原则确定，但不得违背政府采购基本原则和磋商文件规定。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四、磋商小组对所有响应文件进行审查后，确定参加磋商的供应商名单。</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 xml:space="preserve"> 1.磋商小组认为供应商的报价明显低于其他实质性响应的供应商报价，有可能影响工程质量或者不能诚信履约的，应当要求其在合理的时间内提供书面说明，必要时提交相关证明材料；供应商不能证明其报价合理性的，磋商小组应当将其作为无效响应处理。 2.供应商通过项目电子化交易系统在磋商小组要求的合理时间内提交说明，否则无效。</w:t>
            </w:r>
          </w:p>
        </w:tc>
        <w:tc>
          <w:tcPr>
            <w:tcW w:type="dxa" w:w="1661"/>
          </w:tcPr>
          <w:p>
            <w:pPr>
              <w:pStyle w:val="null3"/>
            </w:pPr>
            <w:r>
              <w:rPr>
                <w:rFonts w:ascii="仿宋_GB2312" w:hAnsi="仿宋_GB2312" w:cs="仿宋_GB2312" w:eastAsia="仿宋_GB2312"/>
              </w:rPr>
              <w:t>已标价工程量清单 报价函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报价唯一，且未超出磋商文件规定的最高限价。</w:t>
            </w:r>
          </w:p>
        </w:tc>
        <w:tc>
          <w:tcPr>
            <w:tcW w:type="dxa" w:w="1661"/>
          </w:tcPr>
          <w:p>
            <w:pPr>
              <w:pStyle w:val="null3"/>
            </w:pPr>
            <w:r>
              <w:rPr>
                <w:rFonts w:ascii="仿宋_GB2312" w:hAnsi="仿宋_GB2312" w:cs="仿宋_GB2312" w:eastAsia="仿宋_GB2312"/>
              </w:rPr>
              <w:t>已标价工程量清单 报价函 标的清单 磋商报价一览表.docx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签署、盖章</w:t>
            </w:r>
          </w:p>
        </w:tc>
        <w:tc>
          <w:tcPr>
            <w:tcW w:type="dxa" w:w="3322"/>
          </w:tcPr>
          <w:p>
            <w:pPr>
              <w:pStyle w:val="null3"/>
            </w:pPr>
            <w:r>
              <w:rPr>
                <w:rFonts w:ascii="仿宋_GB2312" w:hAnsi="仿宋_GB2312" w:cs="仿宋_GB2312" w:eastAsia="仿宋_GB2312"/>
              </w:rPr>
              <w:t>按磋商文件要求签署、盖章</w:t>
            </w:r>
          </w:p>
        </w:tc>
        <w:tc>
          <w:tcPr>
            <w:tcW w:type="dxa" w:w="1661"/>
          </w:tcPr>
          <w:p>
            <w:pPr>
              <w:pStyle w:val="null3"/>
            </w:pPr>
            <w:r>
              <w:rPr>
                <w:rFonts w:ascii="仿宋_GB2312" w:hAnsi="仿宋_GB2312" w:cs="仿宋_GB2312" w:eastAsia="仿宋_GB2312"/>
              </w:rPr>
              <w:t>已标价工程量清单 中小企业声明函 一般资格要求.docx 技术服务合同条款及其他商务要求应答表 财务状况报告.docx 响应文件封面 供应商近3年完成的类似业绩证明材料.docx 特殊资格要求.docx 项目管理机构组成表 技术文件.docx 供应商认为有必要补充说明的事项.docx 报价函 标的清单 响应函 主要人员简历表 磋商报价一览表.docx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从递交响应文件的截止之日起算不少于90个日历日</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符合“第七章响应文件格式”的要求</w:t>
            </w:r>
          </w:p>
        </w:tc>
        <w:tc>
          <w:tcPr>
            <w:tcW w:type="dxa" w:w="1661"/>
          </w:tcPr>
          <w:p>
            <w:pPr>
              <w:pStyle w:val="null3"/>
            </w:pPr>
            <w:r>
              <w:rPr>
                <w:rFonts w:ascii="仿宋_GB2312" w:hAnsi="仿宋_GB2312" w:cs="仿宋_GB2312" w:eastAsia="仿宋_GB2312"/>
              </w:rPr>
              <w:t>已标价工程量清单 中小企业声明函 一般资格要求.docx 技术服务合同条款及其他商务要求应答表 财务状况报告.docx 响应文件封面 供应商近3年完成的类似业绩证明材料.docx 特殊资格要求.docx 项目管理机构组成表 技术文件.docx 供应商认为有必要补充说明的事项.docx 报价函 标的清单 响应函 主要人员简历表 磋商报价一览表.docx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工期</w:t>
            </w:r>
          </w:p>
        </w:tc>
        <w:tc>
          <w:tcPr>
            <w:tcW w:type="dxa" w:w="3322"/>
          </w:tcPr>
          <w:p>
            <w:pPr>
              <w:pStyle w:val="null3"/>
            </w:pPr>
            <w:r>
              <w:rPr>
                <w:rFonts w:ascii="仿宋_GB2312" w:hAnsi="仿宋_GB2312" w:cs="仿宋_GB2312" w:eastAsia="仿宋_GB2312"/>
              </w:rPr>
              <w:t>符合磋商文件对工期的要求</w:t>
            </w:r>
          </w:p>
        </w:tc>
        <w:tc>
          <w:tcPr>
            <w:tcW w:type="dxa" w:w="1661"/>
          </w:tcPr>
          <w:p>
            <w:pPr>
              <w:pStyle w:val="null3"/>
            </w:pPr>
            <w:r>
              <w:rPr>
                <w:rFonts w:ascii="仿宋_GB2312" w:hAnsi="仿宋_GB2312" w:cs="仿宋_GB2312" w:eastAsia="仿宋_GB2312"/>
              </w:rPr>
              <w:t>磋商报价一览表.docx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对磋商文件响应程度</w:t>
            </w:r>
          </w:p>
        </w:tc>
        <w:tc>
          <w:tcPr>
            <w:tcW w:type="dxa" w:w="3322"/>
          </w:tcPr>
          <w:p>
            <w:pPr>
              <w:pStyle w:val="null3"/>
            </w:pPr>
            <w:r>
              <w:rPr>
                <w:rFonts w:ascii="仿宋_GB2312" w:hAnsi="仿宋_GB2312" w:cs="仿宋_GB2312" w:eastAsia="仿宋_GB2312"/>
              </w:rPr>
              <w:t>符合磋商文件实质性要求的规定</w:t>
            </w:r>
          </w:p>
        </w:tc>
        <w:tc>
          <w:tcPr>
            <w:tcW w:type="dxa" w:w="1661"/>
          </w:tcPr>
          <w:p>
            <w:pPr>
              <w:pStyle w:val="null3"/>
            </w:pPr>
            <w:r>
              <w:rPr>
                <w:rFonts w:ascii="仿宋_GB2312" w:hAnsi="仿宋_GB2312" w:cs="仿宋_GB2312" w:eastAsia="仿宋_GB2312"/>
              </w:rPr>
              <w:t>技术服务合同条款及其他商务要求应答表</w:t>
            </w:r>
          </w:p>
        </w:tc>
      </w:tr>
    </w:tbl>
    <w:p>
      <w:pPr>
        <w:pStyle w:val="null3"/>
        <w:outlineLvl w:val="3"/>
      </w:pPr>
      <w:r>
        <w:rPr>
          <w:rFonts w:ascii="仿宋_GB2312" w:hAnsi="仿宋_GB2312" w:cs="仿宋_GB2312" w:eastAsia="仿宋_GB2312"/>
          <w:sz w:val="24"/>
          <w:b/>
        </w:rPr>
        <w:t xml:space="preserve"> 6.3.3磋商</w:t>
      </w:r>
    </w:p>
    <w:p>
      <w:pPr>
        <w:pStyle w:val="null3"/>
        <w:ind w:firstLine="480"/>
      </w:pPr>
      <w:r>
        <w:rPr>
          <w:rFonts w:ascii="仿宋_GB2312" w:hAnsi="仿宋_GB2312" w:cs="仿宋_GB2312" w:eastAsia="仿宋_GB2312"/>
        </w:rPr>
        <w:t xml:space="preserve"> 一、磋商小组所有成员集中与单一供应商分别进行一轮或多轮磋商，并给予所有参加磋商的供应商平等的磋商机会。磋商顺序由磋商小组组长以在线抽签的方式确定。磋商过程中，磋商小组可以根据磋商情况调整磋商轮次。</w:t>
      </w:r>
    </w:p>
    <w:p>
      <w:pPr>
        <w:pStyle w:val="null3"/>
        <w:ind w:firstLine="480"/>
      </w:pPr>
      <w:r>
        <w:rPr>
          <w:rFonts w:ascii="仿宋_GB2312" w:hAnsi="仿宋_GB2312" w:cs="仿宋_GB2312" w:eastAsia="仿宋_GB2312"/>
        </w:rPr>
        <w:t>二、每轮磋商开始前，磋商小组应根据磋商文件的规定，并结合各供应商的响应文件拟定磋商内容。</w:t>
      </w:r>
    </w:p>
    <w:p>
      <w:pPr>
        <w:pStyle w:val="null3"/>
        <w:ind w:firstLine="480"/>
      </w:pPr>
      <w:r>
        <w:rPr>
          <w:rFonts w:ascii="仿宋_GB2312" w:hAnsi="仿宋_GB2312" w:cs="仿宋_GB2312" w:eastAsia="仿宋_GB2312"/>
        </w:rPr>
        <w:t xml:space="preserve"> 三、在磋商过程中，磋商小组在获得采购人代表确认的前提下，可以根据磋商文件第三章“磋商项目技术、服务、商务及其他要求”、第八章“拟签订的合同文本”规定的可实质性变动内容和磋商情况实质性变动磋商文件的技术、服务要求以及合同草案条款，但不得变动磋商文件中的其他内容。</w:t>
      </w:r>
    </w:p>
    <w:p>
      <w:pPr>
        <w:pStyle w:val="null3"/>
        <w:ind w:firstLine="480"/>
      </w:pPr>
      <w:r>
        <w:rPr>
          <w:rFonts w:ascii="仿宋_GB2312" w:hAnsi="仿宋_GB2312" w:cs="仿宋_GB2312" w:eastAsia="仿宋_GB2312"/>
        </w:rPr>
        <w:t xml:space="preserve"> 四、对磋商文件作出的实质性变动是磋商文件的有效组成部分，磋商小组应通过项目电子化交易系统，将变动情况同时通知所有参加磋商的供应商。</w:t>
      </w:r>
    </w:p>
    <w:p>
      <w:pPr>
        <w:pStyle w:val="null3"/>
        <w:ind w:firstLine="480"/>
      </w:pPr>
      <w:r>
        <w:rPr>
          <w:rFonts w:ascii="仿宋_GB2312" w:hAnsi="仿宋_GB2312" w:cs="仿宋_GB2312" w:eastAsia="仿宋_GB2312"/>
        </w:rPr>
        <w:t xml:space="preserve"> 五、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六、经最终磋商后，响应文件仍有下列情况之一的，应按照无效响应文件处理：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二、磋商小组开启报价后，供应商应随时关注项目电子化交易系统信息或短信提醒，登录项目电子化交易系统，通过“等候大厅”进行报价并签章后提交。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应当对其响应文件作无效处理，不允许进入综合评分，并通过项目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 xml:space="preserve"> （五）若采用项目包干价的，供应商直接给出其完成本项目全部工作内容所需的总价，不再提供已标价工程量清单（报价格式要求见第七章）。</w:t>
      </w:r>
    </w:p>
    <w:p>
      <w:pPr>
        <w:pStyle w:val="null3"/>
        <w:ind w:firstLine="480"/>
      </w:pPr>
      <w:r>
        <w:rPr>
          <w:rFonts w:ascii="仿宋_GB2312" w:hAnsi="仿宋_GB2312" w:cs="仿宋_GB2312" w:eastAsia="仿宋_GB2312"/>
        </w:rPr>
        <w:t xml:space="preserve"> （六）若采用项目单价的，首次响应文件中的报价以已标价工程量清单报价。供应商最后报价采用基于首次响应文件的报价下浮一定比例的方式进行报价。</w:t>
      </w:r>
    </w:p>
    <w:p>
      <w:pPr>
        <w:pStyle w:val="null3"/>
        <w:ind w:firstLine="480"/>
      </w:pPr>
      <w:r>
        <w:rPr>
          <w:rFonts w:ascii="仿宋_GB2312" w:hAnsi="仿宋_GB2312" w:cs="仿宋_GB2312" w:eastAsia="仿宋_GB2312"/>
        </w:rPr>
        <w:t xml:space="preserve"> （七）若采用采购人固定价的，供应商的报价应当按照磋商文件中确定了的采购项目采购价格进行报价，不得增加或者减少，否则其报价无效，其响应文件应当作为无效处理。供应商最后报价应当以全部响应磋商文件及磋商过程中变更的实质性要求为前提，最后报价应当与首次报价一致，否则作为无效处理（报价格式要求见第七章）。</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说明或者更正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由磋商小组采用综合评分法对提交最后报价的供应商的响应文件和最后报价进行综合评分，具体要求详见本章评审办法及标准部分。</w:t>
      </w:r>
    </w:p>
    <w:p>
      <w:pPr>
        <w:pStyle w:val="null3"/>
        <w:outlineLvl w:val="3"/>
      </w:pPr>
      <w:r>
        <w:rPr>
          <w:rFonts w:ascii="仿宋_GB2312" w:hAnsi="仿宋_GB2312" w:cs="仿宋_GB2312" w:eastAsia="仿宋_GB2312"/>
          <w:sz w:val="24"/>
          <w:b/>
        </w:rPr>
        <w:t xml:space="preserve"> 6.3.7推荐成交候选供应商</w:t>
      </w:r>
    </w:p>
    <w:p>
      <w:pPr>
        <w:pStyle w:val="null3"/>
        <w:ind w:firstLine="480"/>
      </w:pPr>
      <w:r>
        <w:rPr>
          <w:rFonts w:ascii="仿宋_GB2312" w:hAnsi="仿宋_GB2312" w:cs="仿宋_GB2312" w:eastAsia="仿宋_GB2312"/>
        </w:rPr>
        <w:t>磋商小组应当根据综合评分情况，按照评审得分由高到低顺序推荐如下家数的成交候选供应商，并编写磋商报告。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6.3.8磋商小组复核</w:t>
      </w:r>
    </w:p>
    <w:p>
      <w:pPr>
        <w:pStyle w:val="null3"/>
        <w:ind w:firstLine="480"/>
      </w:pPr>
      <w:r>
        <w:rPr>
          <w:rFonts w:ascii="仿宋_GB2312" w:hAnsi="仿宋_GB2312" w:cs="仿宋_GB2312" w:eastAsia="仿宋_GB2312"/>
        </w:rPr>
        <w:t xml:space="preserve"> 磋商小组评分汇总结束后，磋商小组应当进行评审复核，对拟推荐为成交候选供应商的、报价最低的、供应商响应文件作无效处理的重点复核。</w:t>
      </w:r>
    </w:p>
    <w:p>
      <w:pPr>
        <w:pStyle w:val="null3"/>
        <w:outlineLvl w:val="3"/>
      </w:pPr>
      <w:r>
        <w:rPr>
          <w:rFonts w:ascii="仿宋_GB2312" w:hAnsi="仿宋_GB2312" w:cs="仿宋_GB2312" w:eastAsia="仿宋_GB2312"/>
          <w:sz w:val="24"/>
          <w:b/>
        </w:rPr>
        <w:t>6.3.9代理机构现场复核评审结果</w:t>
      </w:r>
    </w:p>
    <w:p>
      <w:pPr>
        <w:pStyle w:val="null3"/>
        <w:ind w:firstLine="480"/>
      </w:pPr>
      <w:r>
        <w:rPr>
          <w:rFonts w:ascii="仿宋_GB2312" w:hAnsi="仿宋_GB2312" w:cs="仿宋_GB2312" w:eastAsia="仿宋_GB2312"/>
        </w:rPr>
        <w:t xml:space="preserve"> 一、评审结果汇总完成后，磋商小组拟出具磋商磋商报告前，代理机构应当组织2名以上的本单位工作人员，在采购现场监督人员的监督之下，依据有关的法律制度和磋商文件对评审结果进行复核，出具复核报告，存在下列情形之一的，代理机构应当根据情况通过项目电子化交易系统建议磋商小组现场修改评审结果。存在本条上述情形的，由磋商小组自主决定是否采纳代理机构的建议，并承担独立评审责任。</w:t>
      </w:r>
    </w:p>
    <w:p>
      <w:pPr>
        <w:pStyle w:val="null3"/>
        <w:ind w:firstLine="480"/>
      </w:pPr>
      <w:r>
        <w:rPr>
          <w:rFonts w:ascii="仿宋_GB2312" w:hAnsi="仿宋_GB2312" w:cs="仿宋_GB2312" w:eastAsia="仿宋_GB2312"/>
        </w:rPr>
        <w:t xml:space="preserve"> 二、磋商小组采纳代理机构建议的，应当按照规定现场通过项目电子化交易系统修改评审结果或者重新评审，并在磋商报告中详细记载有关事宜；不采纳代理机构建议的，应当说明理由。代理机构建议未被磋商小组采纳的，应当按照规定程序要求继续组织实施采购活动，不得擅自中止采购活动。代理机构认为磋商小组评审结果不合法的，应当书面报告采购项目同级财政部门。</w:t>
      </w:r>
    </w:p>
    <w:p>
      <w:pPr>
        <w:pStyle w:val="null3"/>
        <w:ind w:firstLine="480"/>
      </w:pPr>
      <w:r>
        <w:rPr>
          <w:rFonts w:ascii="仿宋_GB2312" w:hAnsi="仿宋_GB2312" w:cs="仿宋_GB2312" w:eastAsia="仿宋_GB2312"/>
        </w:rPr>
        <w:t>三、代理机构复核过程中，磋商小组成员不得离开评审现场。</w:t>
      </w:r>
    </w:p>
    <w:p>
      <w:pPr>
        <w:pStyle w:val="null3"/>
        <w:outlineLvl w:val="3"/>
      </w:pPr>
      <w:r>
        <w:rPr>
          <w:rFonts w:ascii="仿宋_GB2312" w:hAnsi="仿宋_GB2312" w:cs="仿宋_GB2312" w:eastAsia="仿宋_GB2312"/>
          <w:sz w:val="24"/>
          <w:b/>
        </w:rPr>
        <w:t>6.3.10编写磋商报告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6.3.11评审争议处理规则</w:t>
      </w:r>
    </w:p>
    <w:p>
      <w:pPr>
        <w:pStyle w:val="null3"/>
        <w:ind w:firstLine="480"/>
      </w:pPr>
      <w:r>
        <w:rPr>
          <w:rFonts w:ascii="仿宋_GB2312" w:hAnsi="仿宋_GB2312" w:cs="仿宋_GB2312" w:eastAsia="仿宋_GB2312"/>
        </w:rPr>
        <w:t xml:space="preserve"> 磋商小组在评审过程中，对于资格审查、符合性审查、对供应商响应文件做无效处理及其他需要共同认定的事项存在争议的，应当以少数服从多数的原则做出结论，但不得违背法律法规和磋商文件规定。有不同意见的磋商小组成员认为认定过程和结果不符合法律法规或者磋商文件规定的，应当在磋商报告中予以反映。</w:t>
      </w:r>
    </w:p>
    <w:p>
      <w:pPr>
        <w:pStyle w:val="null3"/>
        <w:outlineLvl w:val="3"/>
      </w:pPr>
      <w:r>
        <w:rPr>
          <w:rFonts w:ascii="仿宋_GB2312" w:hAnsi="仿宋_GB2312" w:cs="仿宋_GB2312" w:eastAsia="仿宋_GB2312"/>
          <w:sz w:val="24"/>
          <w:b/>
        </w:rPr>
        <w:t>6.3.12终止磋商采购活动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三、在采购过程中符合要求的供应商或者报价未超过采购预算及最高限价的供应商不足3家的；</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一、磋商小组根据磋商文件的要求采用相同的评审程序、评分办法及标准进行评价和比较。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ind w:firstLine="480"/>
      </w:pPr>
      <w:r>
        <w:rPr>
          <w:rFonts w:ascii="仿宋_GB2312" w:hAnsi="仿宋_GB2312" w:cs="仿宋_GB2312" w:eastAsia="仿宋_GB2312"/>
        </w:rPr>
        <w:t>一、本次综合评分的因素详见综合评分明细表。</w:t>
      </w:r>
    </w:p>
    <w:p>
      <w:pPr>
        <w:pStyle w:val="null3"/>
        <w:ind w:firstLine="480"/>
      </w:pPr>
      <w:r>
        <w:rPr>
          <w:rFonts w:ascii="仿宋_GB2312" w:hAnsi="仿宋_GB2312" w:cs="仿宋_GB2312" w:eastAsia="仿宋_GB2312"/>
        </w:rPr>
        <w:t>二、综合评分明细表</w:t>
      </w:r>
    </w:p>
    <w:p>
      <w:pPr>
        <w:pStyle w:val="null3"/>
        <w:ind w:firstLine="480"/>
      </w:pPr>
      <w:r>
        <w:rPr>
          <w:rFonts w:ascii="仿宋_GB2312" w:hAnsi="仿宋_GB2312" w:cs="仿宋_GB2312" w:eastAsia="仿宋_GB2312"/>
        </w:rPr>
        <w:t>（一）综合评分明细表的制定以科学合理、降低磋商小组自由裁量权为原则。</w:t>
      </w:r>
    </w:p>
    <w:p>
      <w:pPr>
        <w:pStyle w:val="null3"/>
        <w:ind w:firstLine="480"/>
      </w:pPr>
      <w:r>
        <w:rPr>
          <w:rFonts w:ascii="仿宋_GB2312" w:hAnsi="仿宋_GB2312" w:cs="仿宋_GB2312" w:eastAsia="仿宋_GB2312"/>
        </w:rPr>
        <w:t>（二）综合评分明细表中的报价应先按供应商须知附表中的相关要求进行价格调整，再进行报价评分。</w:t>
      </w:r>
    </w:p>
    <w:p>
      <w:pPr>
        <w:pStyle w:val="null3"/>
        <w:ind w:firstLine="480"/>
      </w:pPr>
      <w:r>
        <w:rPr>
          <w:rFonts w:ascii="仿宋_GB2312" w:hAnsi="仿宋_GB2312" w:cs="仿宋_GB2312" w:eastAsia="仿宋_GB2312"/>
        </w:rPr>
        <w:t>（三）综合评分明细表：</w:t>
      </w:r>
    </w:p>
    <w:p>
      <w:pPr>
        <w:pStyle w:val="null3"/>
        <w:ind w:firstLine="480"/>
      </w:pPr>
      <w:r>
        <w:rPr>
          <w:rFonts w:ascii="仿宋_GB2312" w:hAnsi="仿宋_GB2312" w:cs="仿宋_GB2312" w:eastAsia="仿宋_GB2312"/>
        </w:rPr>
        <w:t xml:space="preserve"> （说明：采购人根据项目实际需要设置评审因素和标准，评审标准中的分值设置应当与评审因素的量化指标相对应。）</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施工技术方案</w:t>
            </w:r>
          </w:p>
        </w:tc>
        <w:tc>
          <w:tcPr>
            <w:tcW w:type="dxa" w:w="2492"/>
          </w:tcPr>
          <w:p>
            <w:pPr>
              <w:pStyle w:val="null3"/>
            </w:pPr>
            <w:r>
              <w:rPr>
                <w:rFonts w:ascii="仿宋_GB2312" w:hAnsi="仿宋_GB2312" w:cs="仿宋_GB2312" w:eastAsia="仿宋_GB2312"/>
              </w:rPr>
              <w:t>根据项目特点编制符合实际的施工技术方案，对重点部位、关键节点有针对性考虑并符合相关规范及行业标准。 施工方案编制思路清晰、详细、具体、科学可行的得(12-14]分； 施工方案编制思路较清晰，基本能保证项目实施的得(10-12]分； 施工方案编制思路含糊，无法保证项目实施的得[8-10]分。</w:t>
            </w:r>
          </w:p>
        </w:tc>
        <w:tc>
          <w:tcPr>
            <w:tcW w:type="dxa" w:w="831"/>
          </w:tcPr>
          <w:p>
            <w:pPr>
              <w:pStyle w:val="null3"/>
              <w:jc w:val="right"/>
            </w:pPr>
            <w:r>
              <w:rPr>
                <w:rFonts w:ascii="仿宋_GB2312" w:hAnsi="仿宋_GB2312" w:cs="仿宋_GB2312" w:eastAsia="仿宋_GB2312"/>
              </w:rPr>
              <w:t>14.0000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技术文件.docx</w:t>
            </w:r>
          </w:p>
        </w:tc>
      </w:tr>
      <w:tr>
        <w:tc>
          <w:tcPr>
            <w:tcW w:type="dxa" w:w="831"/>
            <w:vMerge/>
          </w:tcPr>
          <w:p/>
        </w:tc>
        <w:tc>
          <w:tcPr>
            <w:tcW w:type="dxa" w:w="1661"/>
          </w:tcPr>
          <w:p>
            <w:pPr>
              <w:pStyle w:val="null3"/>
            </w:pPr>
            <w:r>
              <w:rPr>
                <w:rFonts w:ascii="仿宋_GB2312" w:hAnsi="仿宋_GB2312" w:cs="仿宋_GB2312" w:eastAsia="仿宋_GB2312"/>
              </w:rPr>
              <w:t>确保工程质量的技术组织措施</w:t>
            </w:r>
          </w:p>
        </w:tc>
        <w:tc>
          <w:tcPr>
            <w:tcW w:type="dxa" w:w="2492"/>
          </w:tcPr>
          <w:p>
            <w:pPr>
              <w:pStyle w:val="null3"/>
            </w:pPr>
            <w:r>
              <w:rPr>
                <w:rFonts w:ascii="仿宋_GB2312" w:hAnsi="仿宋_GB2312" w:cs="仿宋_GB2312" w:eastAsia="仿宋_GB2312"/>
              </w:rPr>
              <w:t>根据本项目实际，制定明确、具体、切合实际的质量保证措施。 质量目标明确，管理体系健全，质量管理组织体系、措施完善，质量管理措施科学、合理的得(6-8]分； 质量目标较明确，体系较健全，保障措施较合理的得(4-6]分； 质量目标不太明确，保障措施不太合理的得[2-4]分。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技术文件.docx</w:t>
            </w:r>
          </w:p>
        </w:tc>
      </w:tr>
      <w:tr>
        <w:tc>
          <w:tcPr>
            <w:tcW w:type="dxa" w:w="831"/>
            <w:vMerge/>
          </w:tcPr>
          <w:p/>
        </w:tc>
        <w:tc>
          <w:tcPr>
            <w:tcW w:type="dxa" w:w="1661"/>
          </w:tcPr>
          <w:p>
            <w:pPr>
              <w:pStyle w:val="null3"/>
            </w:pPr>
            <w:r>
              <w:rPr>
                <w:rFonts w:ascii="仿宋_GB2312" w:hAnsi="仿宋_GB2312" w:cs="仿宋_GB2312" w:eastAsia="仿宋_GB2312"/>
              </w:rPr>
              <w:t>工期计划及确保工期的技术组织措施</w:t>
            </w:r>
          </w:p>
        </w:tc>
        <w:tc>
          <w:tcPr>
            <w:tcW w:type="dxa" w:w="2492"/>
          </w:tcPr>
          <w:p>
            <w:pPr>
              <w:pStyle w:val="null3"/>
            </w:pPr>
            <w:r>
              <w:rPr>
                <w:rFonts w:ascii="仿宋_GB2312" w:hAnsi="仿宋_GB2312" w:cs="仿宋_GB2312" w:eastAsia="仿宋_GB2312"/>
              </w:rPr>
              <w:t>根据本项目工期要求，制定满足进度要求的工期计划及技术组织措施。 总工期满足要求，有合理压缩节点工期分析，组织措施科学、合理，有补救延误工期的措施的得(6-8]分； 总工期满足要求，工期组织措施较为科学、合理的得(4-6]分； 总工期满足要求，工期组织措施不太合理的得[2-4]分。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技术文件.docx</w:t>
            </w:r>
          </w:p>
        </w:tc>
      </w:tr>
      <w:tr>
        <w:tc>
          <w:tcPr>
            <w:tcW w:type="dxa" w:w="831"/>
            <w:vMerge/>
          </w:tcPr>
          <w:p/>
        </w:tc>
        <w:tc>
          <w:tcPr>
            <w:tcW w:type="dxa" w:w="1661"/>
          </w:tcPr>
          <w:p>
            <w:pPr>
              <w:pStyle w:val="null3"/>
            </w:pPr>
            <w:r>
              <w:rPr>
                <w:rFonts w:ascii="仿宋_GB2312" w:hAnsi="仿宋_GB2312" w:cs="仿宋_GB2312" w:eastAsia="仿宋_GB2312"/>
              </w:rPr>
              <w:t>确保安全文明施工的技术组织措施及环境保护措施</w:t>
            </w:r>
          </w:p>
        </w:tc>
        <w:tc>
          <w:tcPr>
            <w:tcW w:type="dxa" w:w="2492"/>
          </w:tcPr>
          <w:p>
            <w:pPr>
              <w:pStyle w:val="null3"/>
            </w:pPr>
            <w:r>
              <w:rPr>
                <w:rFonts w:ascii="仿宋_GB2312" w:hAnsi="仿宋_GB2312" w:cs="仿宋_GB2312" w:eastAsia="仿宋_GB2312"/>
              </w:rPr>
              <w:t>根据项目情况制定安全文明施工的技术组织措施及环境保护措施。 安全目标明确，安全体系健全，文明施工及环境保护措施具体、科学、合理得(6-8]分； 安全目标较明确，安全体系较健全，文明施工及环境保护措施较为科学、合理的得(4-6]分； 有安全目标、安全体系，文明施工及环境保护措施不太合理的得[2-4]分。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技术文件.docx</w:t>
            </w:r>
          </w:p>
        </w:tc>
      </w:tr>
      <w:tr>
        <w:tc>
          <w:tcPr>
            <w:tcW w:type="dxa" w:w="831"/>
            <w:vMerge/>
          </w:tcPr>
          <w:p/>
        </w:tc>
        <w:tc>
          <w:tcPr>
            <w:tcW w:type="dxa" w:w="1661"/>
          </w:tcPr>
          <w:p>
            <w:pPr>
              <w:pStyle w:val="null3"/>
            </w:pPr>
            <w:r>
              <w:rPr>
                <w:rFonts w:ascii="仿宋_GB2312" w:hAnsi="仿宋_GB2312" w:cs="仿宋_GB2312" w:eastAsia="仿宋_GB2312"/>
              </w:rPr>
              <w:t>履约能力及服务承诺</w:t>
            </w:r>
          </w:p>
        </w:tc>
        <w:tc>
          <w:tcPr>
            <w:tcW w:type="dxa" w:w="2492"/>
          </w:tcPr>
          <w:p>
            <w:pPr>
              <w:pStyle w:val="null3"/>
            </w:pPr>
            <w:r>
              <w:rPr>
                <w:rFonts w:ascii="仿宋_GB2312" w:hAnsi="仿宋_GB2312" w:cs="仿宋_GB2312" w:eastAsia="仿宋_GB2312"/>
              </w:rPr>
              <w:t>根据对采购人的履约能力及服务承诺进行计分。 供应商承诺接受采购人的考核、监督等，确保工作的优质高效，针对本项目提供合理、可行的服务承诺，得(4-6]分； 有相应的履约能力及服务承诺，服务承诺基本可行、合理，得(2-4]分； 服务承诺不全面、不可行、不合理，得[0-2]分。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技术文件.docx</w:t>
            </w:r>
          </w:p>
        </w:tc>
      </w:tr>
      <w:tr>
        <w:tc>
          <w:tcPr>
            <w:tcW w:type="dxa" w:w="831"/>
            <w:vMerge/>
          </w:tcPr>
          <w:p/>
        </w:tc>
        <w:tc>
          <w:tcPr>
            <w:tcW w:type="dxa" w:w="1661"/>
          </w:tcPr>
          <w:p>
            <w:pPr>
              <w:pStyle w:val="null3"/>
            </w:pPr>
            <w:r>
              <w:rPr>
                <w:rFonts w:ascii="仿宋_GB2312" w:hAnsi="仿宋_GB2312" w:cs="仿宋_GB2312" w:eastAsia="仿宋_GB2312"/>
              </w:rPr>
              <w:t>主要机械设备和材料投入计划</w:t>
            </w:r>
          </w:p>
        </w:tc>
        <w:tc>
          <w:tcPr>
            <w:tcW w:type="dxa" w:w="2492"/>
          </w:tcPr>
          <w:p>
            <w:pPr>
              <w:pStyle w:val="null3"/>
            </w:pPr>
            <w:r>
              <w:rPr>
                <w:rFonts w:ascii="仿宋_GB2312" w:hAnsi="仿宋_GB2312" w:cs="仿宋_GB2312" w:eastAsia="仿宋_GB2312"/>
              </w:rPr>
              <w:t>根据项目情况编制拟投入的主要机械设备和材料投入计划。 机械设备与材料投入合理、配备完善有详尽的计划于措施得(6-8]分； 施工机械配备和材料投入计划较为合理、完善得(4-6]分； 施工机械配备和材料投入计划明显不合理得[2-4]分。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技术文件.docx</w:t>
            </w:r>
          </w:p>
        </w:tc>
      </w:tr>
      <w:tr>
        <w:tc>
          <w:tcPr>
            <w:tcW w:type="dxa" w:w="831"/>
            <w:vMerge/>
          </w:tcPr>
          <w:p/>
        </w:tc>
        <w:tc>
          <w:tcPr>
            <w:tcW w:type="dxa" w:w="1661"/>
          </w:tcPr>
          <w:p>
            <w:pPr>
              <w:pStyle w:val="null3"/>
            </w:pPr>
            <w:r>
              <w:rPr>
                <w:rFonts w:ascii="仿宋_GB2312" w:hAnsi="仿宋_GB2312" w:cs="仿宋_GB2312" w:eastAsia="仿宋_GB2312"/>
              </w:rPr>
              <w:t>拟投入主要技术、管理人员情况</w:t>
            </w:r>
          </w:p>
        </w:tc>
        <w:tc>
          <w:tcPr>
            <w:tcW w:type="dxa" w:w="2492"/>
          </w:tcPr>
          <w:p>
            <w:pPr>
              <w:pStyle w:val="null3"/>
            </w:pPr>
            <w:r>
              <w:rPr>
                <w:rFonts w:ascii="仿宋_GB2312" w:hAnsi="仿宋_GB2312" w:cs="仿宋_GB2312" w:eastAsia="仿宋_GB2312"/>
              </w:rPr>
              <w:t>根据拟投入项目人员学历、专业、经验情况自主赋分。人员配备齐全，专业分工合理、经验丰富，针对性强的得(4-5]分； 人员配备一般、专业分工相对合理、经验丰富，针对性较强的得[3-4]分； 人员配备不足、专业分工相对合理、经验不足的得[1-2]分。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项目管理机构组成表</w:t>
            </w:r>
          </w:p>
          <w:p>
            <w:pPr>
              <w:pStyle w:val="null3"/>
            </w:pPr>
            <w:r>
              <w:rPr>
                <w:rFonts w:ascii="仿宋_GB2312" w:hAnsi="仿宋_GB2312" w:cs="仿宋_GB2312" w:eastAsia="仿宋_GB2312"/>
              </w:rPr>
              <w:t>主要人员简历表</w:t>
            </w:r>
          </w:p>
          <w:p>
            <w:pPr>
              <w:pStyle w:val="null3"/>
            </w:pPr>
            <w:r>
              <w:rPr>
                <w:rFonts w:ascii="仿宋_GB2312" w:hAnsi="仿宋_GB2312" w:cs="仿宋_GB2312" w:eastAsia="仿宋_GB2312"/>
              </w:rPr>
              <w:t>技术文件.docx</w:t>
            </w:r>
          </w:p>
        </w:tc>
      </w:tr>
      <w:tr>
        <w:tc>
          <w:tcPr>
            <w:tcW w:type="dxa" w:w="831"/>
            <w:vMerge/>
          </w:tcPr>
          <w:p/>
        </w:tc>
        <w:tc>
          <w:tcPr>
            <w:tcW w:type="dxa" w:w="1661"/>
          </w:tcPr>
          <w:p>
            <w:pPr>
              <w:pStyle w:val="null3"/>
            </w:pPr>
            <w:r>
              <w:rPr>
                <w:rFonts w:ascii="仿宋_GB2312" w:hAnsi="仿宋_GB2312" w:cs="仿宋_GB2312" w:eastAsia="仿宋_GB2312"/>
              </w:rPr>
              <w:t>项目业绩</w:t>
            </w:r>
          </w:p>
        </w:tc>
        <w:tc>
          <w:tcPr>
            <w:tcW w:type="dxa" w:w="2492"/>
          </w:tcPr>
          <w:p>
            <w:pPr>
              <w:pStyle w:val="null3"/>
            </w:pPr>
            <w:r>
              <w:rPr>
                <w:rFonts w:ascii="仿宋_GB2312" w:hAnsi="仿宋_GB2312" w:cs="仿宋_GB2312" w:eastAsia="仿宋_GB2312"/>
              </w:rPr>
              <w:t>提供2022年1月1日至今（以合同签订时间为准）类似项目业绩，每提供1个计2.5分，最多计5分。 备注：须提供业绩合同(关键内容页)并加盖供应商公章，否则不得分。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供应商近3年完成的类似业绩证明材料.docx</w:t>
            </w:r>
          </w:p>
        </w:tc>
      </w:tr>
      <w:tr>
        <w:tc>
          <w:tcPr>
            <w:tcW w:type="dxa" w:w="831"/>
            <w:vMerge/>
          </w:tcPr>
          <w:p/>
        </w:tc>
        <w:tc>
          <w:tcPr>
            <w:tcW w:type="dxa" w:w="1661"/>
          </w:tcPr>
          <w:p>
            <w:pPr>
              <w:pStyle w:val="null3"/>
            </w:pPr>
            <w:r>
              <w:rPr>
                <w:rFonts w:ascii="仿宋_GB2312" w:hAnsi="仿宋_GB2312" w:cs="仿宋_GB2312" w:eastAsia="仿宋_GB2312"/>
              </w:rPr>
              <w:t>对本项目的分析、理解</w:t>
            </w:r>
          </w:p>
        </w:tc>
        <w:tc>
          <w:tcPr>
            <w:tcW w:type="dxa" w:w="2492"/>
          </w:tcPr>
          <w:p>
            <w:pPr>
              <w:pStyle w:val="null3"/>
            </w:pPr>
            <w:r>
              <w:rPr>
                <w:rFonts w:ascii="仿宋_GB2312" w:hAnsi="仿宋_GB2312" w:cs="仿宋_GB2312" w:eastAsia="仿宋_GB2312"/>
              </w:rPr>
              <w:t>结合项目现状与需求，对项目背景、现实情况、面临问题进行系统分析，结合自身施工经验具体阐述对项目的理解、项目实施的要点和实施路径。 项目理解透彻，分析合理，阐述详细且条理清晰，得(6-8]分； 项目理解较为透彻，分析较为合理，阐述详细，得(4-6]分； 项目理解、分析和阐述等均较为简单，适用性一般，得[2-4]分。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技术文件.docx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1.满足采购文件要求且价格最低的报价为评审基准价，其价格分为满分。 2.其他供应商的价格分统一按照（评审基准价/评审价×30）的公式计算价格得分。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报价函</w:t>
            </w:r>
          </w:p>
          <w:p>
            <w:pPr>
              <w:pStyle w:val="null3"/>
            </w:pPr>
            <w:r>
              <w:rPr>
                <w:rFonts w:ascii="仿宋_GB2312" w:hAnsi="仿宋_GB2312" w:cs="仿宋_GB2312" w:eastAsia="仿宋_GB2312"/>
              </w:rPr>
              <w:t>已标价工程量清单</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磋商报价一览表.docx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3.00%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 xml:space="preserve"> （二）按照客观、公正、审慎的原则，根据采购文件规定的评审程序、评审方法和评审标准进行独立评审；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 xml:space="preserve"> 6.7评审专家在政府采购活动中应当遵守以下工作纪律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 xml:space="preserve"> （二）评审前，应当将通讯工具或者相关电子设备交由采购组织单位统一保管。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 xml:space="preserve"> （四）评审过程中，不得干预或者影响正常评审工作，不得发表倾向性、引导性意见， 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 xml:space="preserve"> （六）服从评审现场采购组织单位的现场秩序管理，接受评审现场监督人员的合法监督。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详见附件：报价函</w:t>
      </w:r>
    </w:p>
    <w:p>
      <w:pPr>
        <w:pStyle w:val="null3"/>
        <w:ind w:firstLine="960"/>
      </w:pPr>
      <w:r>
        <w:rPr>
          <w:rFonts w:ascii="仿宋_GB2312" w:hAnsi="仿宋_GB2312" w:cs="仿宋_GB2312" w:eastAsia="仿宋_GB2312"/>
        </w:rPr>
        <w:t>详见附件：已标价工程量清单</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详见附件：技术服务合同条款及其他商务要求应答表</w:t>
      </w:r>
    </w:p>
    <w:p>
      <w:pPr>
        <w:pStyle w:val="null3"/>
        <w:ind w:firstLine="960"/>
      </w:pPr>
      <w:r>
        <w:rPr>
          <w:rFonts w:ascii="仿宋_GB2312" w:hAnsi="仿宋_GB2312" w:cs="仿宋_GB2312" w:eastAsia="仿宋_GB2312"/>
        </w:rPr>
        <w:t>详见附件：项目管理机构组成表</w:t>
      </w:r>
    </w:p>
    <w:p>
      <w:pPr>
        <w:pStyle w:val="null3"/>
        <w:ind w:firstLine="960"/>
      </w:pPr>
      <w:r>
        <w:rPr>
          <w:rFonts w:ascii="仿宋_GB2312" w:hAnsi="仿宋_GB2312" w:cs="仿宋_GB2312" w:eastAsia="仿宋_GB2312"/>
        </w:rPr>
        <w:t>详见附件：主要人员简历表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详见附件：一般资格要求.docx</w:t>
      </w:r>
    </w:p>
    <w:p>
      <w:pPr>
        <w:pStyle w:val="null3"/>
        <w:ind w:firstLine="960"/>
      </w:pPr>
      <w:r>
        <w:rPr>
          <w:rFonts w:ascii="仿宋_GB2312" w:hAnsi="仿宋_GB2312" w:cs="仿宋_GB2312" w:eastAsia="仿宋_GB2312"/>
        </w:rPr>
        <w:t>详见附件：财务状况报告.docx</w:t>
      </w:r>
    </w:p>
    <w:p>
      <w:pPr>
        <w:pStyle w:val="null3"/>
        <w:ind w:firstLine="960"/>
      </w:pPr>
      <w:r>
        <w:rPr>
          <w:rFonts w:ascii="仿宋_GB2312" w:hAnsi="仿宋_GB2312" w:cs="仿宋_GB2312" w:eastAsia="仿宋_GB2312"/>
        </w:rPr>
        <w:t>详见附件：特殊资格要求.docx</w:t>
      </w:r>
    </w:p>
    <w:p>
      <w:pPr>
        <w:pStyle w:val="null3"/>
        <w:ind w:firstLine="960"/>
      </w:pPr>
      <w:r>
        <w:rPr>
          <w:rFonts w:ascii="仿宋_GB2312" w:hAnsi="仿宋_GB2312" w:cs="仿宋_GB2312" w:eastAsia="仿宋_GB2312"/>
        </w:rPr>
        <w:t>详见附件：技术文件.docx</w:t>
      </w:r>
    </w:p>
    <w:p>
      <w:pPr>
        <w:pStyle w:val="null3"/>
        <w:ind w:firstLine="960"/>
      </w:pPr>
      <w:r>
        <w:rPr>
          <w:rFonts w:ascii="仿宋_GB2312" w:hAnsi="仿宋_GB2312" w:cs="仿宋_GB2312" w:eastAsia="仿宋_GB2312"/>
        </w:rPr>
        <w:t>详见附件：磋商报价一览表.docx</w:t>
      </w:r>
    </w:p>
    <w:p>
      <w:pPr>
        <w:pStyle w:val="null3"/>
        <w:ind w:firstLine="960"/>
      </w:pPr>
      <w:r>
        <w:rPr>
          <w:rFonts w:ascii="仿宋_GB2312" w:hAnsi="仿宋_GB2312" w:cs="仿宋_GB2312" w:eastAsia="仿宋_GB2312"/>
        </w:rPr>
        <w:t>详见附件：供应商近3年完成的类似业绩证明材料.docx</w:t>
      </w:r>
    </w:p>
    <w:p>
      <w:pPr>
        <w:pStyle w:val="null3"/>
        <w:ind w:firstLine="960"/>
      </w:pPr>
      <w:r>
        <w:rPr>
          <w:rFonts w:ascii="仿宋_GB2312" w:hAnsi="仿宋_GB2312" w:cs="仿宋_GB2312" w:eastAsia="仿宋_GB2312"/>
        </w:rPr>
        <w:t>详见附件：供应商认为有必要补充说明的事项.docx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详见附件：商洛市中心医院病理科通风系统改造项目-施工合同.docx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