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版本号：HZJSL26-00120260112002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绩效管理及聘用人员工资咨询服务暨配套软件采购项目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HZJSL26-001</w:t>
      </w:r>
      <w:r>
        <w:br/>
      </w:r>
      <w:r>
        <w:br/>
      </w:r>
      <w:r>
        <w:br/>
      </w:r>
    </w:p>
    <w:p>
      <w:pPr>
        <w:pStyle w:val="null3"/>
        <w:jc w:val="center"/>
        <w:outlineLvl w:val="2"/>
      </w:pPr>
      <w:r>
        <w:rPr>
          <w:rFonts w:ascii="仿宋_GB2312" w:hAnsi="仿宋_GB2312" w:cs="仿宋_GB2312" w:eastAsia="仿宋_GB2312"/>
          <w:sz w:val="28"/>
          <w:b/>
        </w:rPr>
        <w:t>商洛市中医医院</w:t>
      </w:r>
    </w:p>
    <w:p>
      <w:pPr>
        <w:pStyle w:val="null3"/>
        <w:jc w:val="center"/>
        <w:outlineLvl w:val="2"/>
      </w:pPr>
      <w:r>
        <w:rPr>
          <w:rFonts w:ascii="仿宋_GB2312" w:hAnsi="仿宋_GB2312" w:cs="仿宋_GB2312" w:eastAsia="仿宋_GB2312"/>
          <w:sz w:val="28"/>
          <w:b/>
        </w:rPr>
        <w:t>华智建项目管理有限公司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华智建项目管理有限公司</w:t>
      </w:r>
      <w:r>
        <w:rPr>
          <w:rFonts w:ascii="仿宋_GB2312" w:hAnsi="仿宋_GB2312" w:cs="仿宋_GB2312" w:eastAsia="仿宋_GB2312"/>
        </w:rPr>
        <w:t>（以下简称“代理机构”）受</w:t>
      </w:r>
      <w:r>
        <w:rPr>
          <w:rFonts w:ascii="仿宋_GB2312" w:hAnsi="仿宋_GB2312" w:cs="仿宋_GB2312" w:eastAsia="仿宋_GB2312"/>
        </w:rPr>
        <w:t>商洛市中医医院</w:t>
      </w:r>
      <w:r>
        <w:rPr>
          <w:rFonts w:ascii="仿宋_GB2312" w:hAnsi="仿宋_GB2312" w:cs="仿宋_GB2312" w:eastAsia="仿宋_GB2312"/>
        </w:rPr>
        <w:t>委托，拟对</w:t>
      </w:r>
      <w:r>
        <w:rPr>
          <w:rFonts w:ascii="仿宋_GB2312" w:hAnsi="仿宋_GB2312" w:cs="仿宋_GB2312" w:eastAsia="仿宋_GB2312"/>
        </w:rPr>
        <w:t>绩效管理及聘用人员工资咨询服务暨配套软件采购项目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HZJSL26-001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绩效管理及聘用人员工资咨询服务暨配套软件采购项目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为进一步深化我院人力资源管理改革，规范绩效管理体系，优化聘用人员工资分配机制，提升管理效率与科学化水平，助力医院高质量发展。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采购包1（绩效管理及聘用人员工资咨询服务暨配套软件采购项目）：属于专门面向中小企业采购。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2025年10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4、社会保障资金缴纳证明：提供2025年10月至今已缴存的至少一个月的社会保障资金缴存单据或社保机构开具的社会保险参保缴费情况证明，依法不需要缴纳社会保障资金的单位应提供相关证明材料。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6、履约能力：提供具有履行合同所必需的设备和专业技术能力的承诺函。</w:t>
      </w:r>
    </w:p>
    <w:p>
      <w:pPr>
        <w:pStyle w:val="null3"/>
      </w:pPr>
      <w:r>
        <w:rPr>
          <w:rFonts w:ascii="仿宋_GB2312" w:hAnsi="仿宋_GB2312" w:cs="仿宋_GB2312" w:eastAsia="仿宋_GB2312"/>
        </w:rPr>
        <w:t>7、身份证件：法定代表人授权书及被授权人身份证。（法定代表人直接磋商只须提交其身份证原件）。</w:t>
      </w:r>
    </w:p>
    <w:p>
      <w:pPr>
        <w:pStyle w:val="null3"/>
      </w:pPr>
      <w:r>
        <w:rPr>
          <w:rFonts w:ascii="仿宋_GB2312" w:hAnsi="仿宋_GB2312" w:cs="仿宋_GB2312" w:eastAsia="仿宋_GB2312"/>
        </w:rPr>
        <w:t>8、中小企业：本项目专门面向中小企业采购，供应商须提供中小企业声明函。</w:t>
      </w:r>
    </w:p>
    <w:p>
      <w:pPr>
        <w:pStyle w:val="null3"/>
      </w:pPr>
      <w:r>
        <w:rPr>
          <w:rFonts w:ascii="仿宋_GB2312" w:hAnsi="仿宋_GB2312" w:cs="仿宋_GB2312" w:eastAsia="仿宋_GB2312"/>
        </w:rPr>
        <w:t>9、非控股、管理关系：单位负责人为同一人或者存在直接控股、管理关系的不同供应商不得参加同一合同项下的政府采购活动。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10、本项目不接受联合体磋商：供应商需在项目电子化交易系统中按要求上传相应证明文件 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商洛市北新街 148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张霄天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13319141685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华智建项目管理有限公司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陕西省商洛市商州区名人街旅游局家属院前楼东单元401室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张晨晨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15291841099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国家发展改革委办公厅关于招标代理服务收费有关问题的通知》发改办价格[2003]857号）和（发改价格〔2015〕299号）规定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商洛市中医医院</w:t>
      </w:r>
      <w:r>
        <w:rPr>
          <w:rFonts w:ascii="仿宋_GB2312" w:hAnsi="仿宋_GB2312" w:cs="仿宋_GB2312" w:eastAsia="仿宋_GB2312"/>
        </w:rPr>
        <w:t>和</w:t>
      </w:r>
      <w:r>
        <w:rPr>
          <w:rFonts w:ascii="仿宋_GB2312" w:hAnsi="仿宋_GB2312" w:cs="仿宋_GB2312" w:eastAsia="仿宋_GB2312"/>
        </w:rPr>
        <w:t>华智建项目管理有限公司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华智建项目管理有限公司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华智建项目管理有限公司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华智建项目管理有限公司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华智建项目管理有限公司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华智建项目管理有限公司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联系人：张晨晨</w:t>
      </w:r>
    </w:p>
    <w:p>
      <w:pPr>
        <w:pStyle w:val="null3"/>
      </w:pPr>
      <w:r>
        <w:rPr>
          <w:rFonts w:ascii="仿宋_GB2312" w:hAnsi="仿宋_GB2312" w:cs="仿宋_GB2312" w:eastAsia="仿宋_GB2312"/>
        </w:rPr>
        <w:t>联系电话：15291841099</w:t>
      </w:r>
    </w:p>
    <w:p>
      <w:pPr>
        <w:pStyle w:val="null3"/>
      </w:pPr>
      <w:r>
        <w:rPr>
          <w:rFonts w:ascii="仿宋_GB2312" w:hAnsi="仿宋_GB2312" w:cs="仿宋_GB2312" w:eastAsia="仿宋_GB2312"/>
        </w:rPr>
        <w:t>地址：陕西省商洛市商州区名人街旅游局家属院前楼东单元401</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为进一步深化我院人力资源管理改革，规范绩效管理体系，优化聘用人员工资分配机制，提升管理效率与科学化水平，助力医院高质量发展。故拟开展本项目。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绩效管理方案和聘用人员工资方案及配套软件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标的名称：绩效管理方案和聘用人员工资方案及配套软件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数据采集：为保证现有资源的合理利用，系统应支持从现有医院信息系统和现有医院平台自动进行数据收集，采集范围至少包括</w:t>
            </w:r>
            <w:r>
              <w:rPr>
                <w:rFonts w:ascii="仿宋_GB2312" w:hAnsi="仿宋_GB2312" w:cs="仿宋_GB2312" w:eastAsia="仿宋_GB2312"/>
                <w:sz w:val="24"/>
              </w:rPr>
              <w:t>HIS系统、LIS系统、PACS系统、电子病历系统、手术麻醉系统、成本核算系统、人事管理系统、排班考勤系统等。在院方的数据集成平台无法提供满足绩效所需数据和所需数据规模的情况下，可以采用面向数据库底层的数据采集方案。</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数据补录：以保证绩效评价客观、公正，数据口径应尽可能完整，数据来源应尽可能丰富，以覆盖临床、管理的方方面面。就目前医院信息化建设情况而言，部分必备的数据需要通过手工补录的方式，记录到绩效系统当中。《绩效管理系统》必须支持对此类数据的补录和扩展应用，而无需再做过多的定制化开发。</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数据上传：《绩效管理系统》各模块应当具备数据录入和上传两种方式，以适应医院现有的数据处理习惯。为此，除常规的将数据输入到《绩效管理系统》外，还应当具备接收符合模板要求的</w:t>
            </w:r>
            <w:r>
              <w:rPr>
                <w:rFonts w:ascii="仿宋_GB2312" w:hAnsi="仿宋_GB2312" w:cs="仿宋_GB2312" w:eastAsia="仿宋_GB2312"/>
                <w:sz w:val="24"/>
              </w:rPr>
              <w:t>Excel电子文档，以降低各科室在数据处理的学习成本。</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分配规则：作为面向全院医生、护理、医技、管理不同职能领域的全面绩效管理系统，绩效的评价与分配的方法存在一定的差异性。为使一套系统满足不同的方案，而不必自定义新模块，绩效管理系统必须采用规则引擎进行绩效分配公式的定义。规则引擎支持用户随时修改规则、参数，且不需反复进行定制软件开发。</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点数规则：</w:t>
            </w:r>
            <w:r>
              <w:rPr>
                <w:rFonts w:ascii="仿宋_GB2312" w:hAnsi="仿宋_GB2312" w:cs="仿宋_GB2312" w:eastAsia="仿宋_GB2312"/>
                <w:sz w:val="24"/>
              </w:rPr>
              <w:t>支持用户通过界面配置来完成项目点数的归属确认。通过多种条件的组合，能够实现较为复杂的逻辑。具有按照医生科室、病人科室、员工、职称、费别、项目、员工身份、节假日工作、门诊住院工作等条件进行规则制定的能力。</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自定义规则：除系统已自带的规则因子外，还必须支持以热插拔方式新增规则因子。新增因子在服务重新启动后即可立即出现在规则引擎中，并被新的分配规则锁调用。新增因此无需对软件进行任何改动，完全可通过配置实现。</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指标编辑：关键业绩指标作为绩效考核与评价的重要维度之一，应当可扩展、可调整、可定义。指标结果的计算逻辑必须由公式编辑器来定义。指标支持不同的考核周期（月、季度、半年、年度），指标编辑器支持引入外部变量来作为指标的动态目标值。</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指标考核关系：为满足当前院内关键业绩指标评价模式，支持一个科室对一个科室、多个科室对一个科室进行考核。</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指标考核：为满足医院信息化建设与发展，指标考核的方式必须包括自动采集汇总、电脑端手工上报、电脑端数据导入等方式，满足不同岗位的评分人员在不同环境下能够对关键业绩指标进行打分。</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人员属性管理：本模块应当支持全院医、护、技、行管、工勤等各岗位职工的人员属性维护，至少应包括年资、职称、行政职务、岗位，以及可扩展的身份属性定义。</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人员系数管理：为满足基于年资的二次分配方案，针对不同职位、岗位、职称等必须能够设置相应系数，系数可应用于人员二次分配自动计算。</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人员归档管理：为保证每月绩效数据的稳定，人员信息必须可按月进行归档和封账，在重新测算历史绩效时候，不得因人员变动而影响数据的合理性和真实性。</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成本管理：绩效所需成本项目，必须支持自动采集、手工录入和批量导入的方式。不同的成本项目在进入绩效分配运算时，应当考虑支持不同的计提比例，通过计提比例的调整确保成本因素在绩效比例中占比合理。</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预提待摊：不同科室的成本项目因周期性波动，其数值变动较大。在系统中必须支持对个别月的成本进行预提待摊的处理，以消除波动性给科室带来的绩效巨大振幅，保证科室业务的正常运转。</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点数维护：全院收费项目与点数结果进行一一对应，对应后的结果可在规则中直接被应用。不同临床科室可个性化调整。</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单项绩效：结合医院实际设定相应单项绩效，突出中医特色。</w:t>
            </w:r>
            <w:r>
              <w:rPr>
                <w:rFonts w:ascii="仿宋_GB2312" w:hAnsi="仿宋_GB2312" w:cs="仿宋_GB2312" w:eastAsia="仿宋_GB2312"/>
                <w:sz w:val="24"/>
              </w:rPr>
              <w:t>可通过系统动态调节</w:t>
            </w:r>
            <w:r>
              <w:rPr>
                <w:rFonts w:ascii="仿宋_GB2312" w:hAnsi="仿宋_GB2312" w:cs="仿宋_GB2312" w:eastAsia="仿宋_GB2312"/>
                <w:sz w:val="24"/>
              </w:rPr>
              <w:t>标准及参数</w:t>
            </w:r>
            <w:r>
              <w:rPr>
                <w:rFonts w:ascii="仿宋_GB2312" w:hAnsi="仿宋_GB2312" w:cs="仿宋_GB2312" w:eastAsia="仿宋_GB2312"/>
                <w:sz w:val="24"/>
              </w:rPr>
              <w:t>，无需进行代码修改。</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个人绩效上报：支持科室自行评价考核科内人员的绩效并进行发放，支持科室将发放结果以手工填报、</w:t>
            </w:r>
            <w:r>
              <w:rPr>
                <w:rFonts w:ascii="仿宋_GB2312" w:hAnsi="仿宋_GB2312" w:cs="仿宋_GB2312" w:eastAsia="仿宋_GB2312"/>
                <w:sz w:val="24"/>
              </w:rPr>
              <w:t>Excel上传等方式反馈到绩效管理部门。发放方式支持跨科室发放，允许核算单元负责人将部分绩效奖励给为本单元带来贡献的他科人员。</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医、护、技、行管不同类别的二次分配方案：支持复杂的科室分配方式，通过系统采集到的个人数据（手术、管床、排班、门诊、特殊治疗项目、自定义项目等）结合科室手工核准上报的项目，从年资、工作量、奖惩三个角度，自动对个人绩效进行评价和发放。</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规则明细分析：通过规则的设定能够将工作量精确到其发生主体，针对不同的主体，应当为其显示每一组规则所对应的明细数据。</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绩效发放分析：对每月绩效进行科室、职能类别进行同比环比等数据分析，进行点数、收入、利润等的对比分析。</w:t>
            </w:r>
          </w:p>
        </w:tc>
      </w:tr>
      <w:tr>
        <w:tc>
          <w:tcPr>
            <w:tcW w:type="dxa" w:w="2769"/>
          </w:tcPr>
          <w:p>
            <w:pPr>
              <w:pStyle w:val="null3"/>
            </w:pPr>
            <w:r>
              <w:rPr>
                <w:rFonts w:ascii="仿宋_GB2312" w:hAnsi="仿宋_GB2312" w:cs="仿宋_GB2312" w:eastAsia="仿宋_GB2312"/>
              </w:rPr>
              <w:t>21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权限控制：权限控制到可精确到具体按钮具体科室，确保权限控制有足够细的粒度。</w:t>
            </w:r>
          </w:p>
        </w:tc>
      </w:tr>
      <w:tr>
        <w:tc>
          <w:tcPr>
            <w:tcW w:type="dxa" w:w="2769"/>
          </w:tcPr>
          <w:p>
            <w:pPr>
              <w:pStyle w:val="null3"/>
            </w:pPr>
            <w:r>
              <w:rPr>
                <w:rFonts w:ascii="仿宋_GB2312" w:hAnsi="仿宋_GB2312" w:cs="仿宋_GB2312" w:eastAsia="仿宋_GB2312"/>
              </w:rPr>
              <w:t>22</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角色分组：用户可按照角色将权限进行打包，角色之间可进行权限叠加。</w:t>
            </w:r>
          </w:p>
        </w:tc>
      </w:tr>
      <w:tr>
        <w:tc>
          <w:tcPr>
            <w:tcW w:type="dxa" w:w="2769"/>
          </w:tcPr>
          <w:p>
            <w:pPr>
              <w:pStyle w:val="null3"/>
            </w:pPr>
            <w:r>
              <w:rPr>
                <w:rFonts w:ascii="仿宋_GB2312" w:hAnsi="仿宋_GB2312" w:cs="仿宋_GB2312" w:eastAsia="仿宋_GB2312"/>
              </w:rPr>
              <w:t>23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日志分析：对用户的每一项操作都有详细的日志记录，每一次数据变化都可通过日志分析模块进行查询。</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ind w:firstLine="480"/>
              <w:jc w:val="both"/>
            </w:pPr>
            <w:r>
              <w:rPr>
                <w:rFonts w:ascii="仿宋_GB2312" w:hAnsi="仿宋_GB2312" w:cs="仿宋_GB2312" w:eastAsia="仿宋_GB2312"/>
                <w:sz w:val="24"/>
              </w:rPr>
              <w:t>符合政策规范性原则。</w:t>
            </w:r>
            <w:r>
              <w:rPr>
                <w:rFonts w:ascii="仿宋_GB2312" w:hAnsi="仿宋_GB2312" w:cs="仿宋_GB2312" w:eastAsia="仿宋_GB2312"/>
                <w:sz w:val="24"/>
              </w:rPr>
              <w:t>所使用的绩效方案应当满足国家卫健委的</w:t>
            </w:r>
            <w:r>
              <w:rPr>
                <w:rFonts w:ascii="仿宋_GB2312" w:hAnsi="仿宋_GB2312" w:cs="仿宋_GB2312" w:eastAsia="仿宋_GB2312"/>
                <w:sz w:val="24"/>
              </w:rPr>
              <w:t>“九不准”要求，医务人员的绩效工资不能与收入挂钩，符合医保支付政策要求。</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ind w:firstLine="480"/>
              <w:jc w:val="both"/>
            </w:pPr>
            <w:r>
              <w:rPr>
                <w:rFonts w:ascii="仿宋_GB2312" w:hAnsi="仿宋_GB2312" w:cs="仿宋_GB2312" w:eastAsia="仿宋_GB2312"/>
                <w:sz w:val="24"/>
              </w:rPr>
              <w:t>技术方法本地化原则</w:t>
            </w:r>
            <w:r>
              <w:rPr>
                <w:rFonts w:ascii="仿宋_GB2312" w:hAnsi="仿宋_GB2312" w:cs="仿宋_GB2312" w:eastAsia="仿宋_GB2312"/>
                <w:sz w:val="24"/>
              </w:rPr>
              <w:t>。</w:t>
            </w:r>
            <w:r>
              <w:rPr>
                <w:rFonts w:ascii="仿宋_GB2312" w:hAnsi="仿宋_GB2312" w:cs="仿宋_GB2312" w:eastAsia="仿宋_GB2312"/>
                <w:sz w:val="24"/>
              </w:rPr>
              <w:t>由于绩效管理高度个性化，投标方应当提供绩效管理咨询，将国际先进的医务人员劳动价值评价方法在本院进行本地化研究，使之适合本院的发展阶段。并能为未来发展建立基础绩效管理架构，依据医院的业务特点进行本地化。</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sz w:val="24"/>
              </w:rPr>
              <w:t>服务产品先进性原则。</w:t>
            </w:r>
            <w:r>
              <w:rPr>
                <w:rFonts w:ascii="仿宋_GB2312" w:hAnsi="仿宋_GB2312" w:cs="仿宋_GB2312" w:eastAsia="仿宋_GB2312"/>
                <w:sz w:val="24"/>
              </w:rPr>
              <w:t>绩效管理方案采用国际通行的医务人员劳动价值评价方法，在国内有成功的应用示范用户。</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sz w:val="24"/>
              </w:rPr>
              <w:t>绩效方案实用性原则。</w:t>
            </w:r>
            <w:r>
              <w:rPr>
                <w:rFonts w:ascii="仿宋_GB2312" w:hAnsi="仿宋_GB2312" w:cs="仿宋_GB2312" w:eastAsia="仿宋_GB2312"/>
                <w:sz w:val="24"/>
              </w:rPr>
              <w:t>绩效整体方案应当与医院发展的阶段、专业特点、科室分工相匹配，依据方案产生的绩效分配结果应当与医院实际情况相符合。</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sz w:val="24"/>
              </w:rPr>
              <w:t>系统数据安全性原则。</w:t>
            </w:r>
            <w:r>
              <w:rPr>
                <w:rFonts w:ascii="仿宋_GB2312" w:hAnsi="仿宋_GB2312" w:cs="仿宋_GB2312" w:eastAsia="仿宋_GB2312"/>
                <w:sz w:val="24"/>
              </w:rPr>
              <w:t>本项目涉及内部业务系统建设时应遵循安全性原则，确保数据的安全性和完整性。</w:t>
            </w:r>
          </w:p>
        </w:tc>
      </w:tr>
      <w:tr>
        <w:tc>
          <w:tcPr>
            <w:tcW w:type="dxa" w:w="2769"/>
          </w:tcPr>
          <w:p>
            <w:pPr>
              <w:pStyle w:val="null3"/>
            </w:pPr>
            <w:r>
              <w:rPr>
                <w:rFonts w:ascii="仿宋_GB2312" w:hAnsi="仿宋_GB2312" w:cs="仿宋_GB2312" w:eastAsia="仿宋_GB2312"/>
              </w:rPr>
              <w:t>29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临床医生绩效评价方案设计</w:t>
            </w:r>
          </w:p>
        </w:tc>
      </w:tr>
      <w:tr>
        <w:tc>
          <w:tcPr>
            <w:tcW w:type="dxa" w:w="2769"/>
          </w:tcPr>
          <w:p>
            <w:pPr>
              <w:pStyle w:val="null3"/>
            </w:pPr>
            <w:r>
              <w:rPr>
                <w:rFonts w:ascii="仿宋_GB2312" w:hAnsi="仿宋_GB2312" w:cs="仿宋_GB2312" w:eastAsia="仿宋_GB2312"/>
              </w:rPr>
              <w:t>30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临床护理绩效评价方案设计</w:t>
            </w:r>
          </w:p>
        </w:tc>
      </w:tr>
      <w:tr>
        <w:tc>
          <w:tcPr>
            <w:tcW w:type="dxa" w:w="2769"/>
          </w:tcPr>
          <w:p>
            <w:pPr>
              <w:pStyle w:val="null3"/>
            </w:pPr>
            <w:r>
              <w:rPr>
                <w:rFonts w:ascii="仿宋_GB2312" w:hAnsi="仿宋_GB2312" w:cs="仿宋_GB2312" w:eastAsia="仿宋_GB2312"/>
              </w:rPr>
              <w:t>31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医技科室绩效评价方案设计</w:t>
            </w:r>
          </w:p>
        </w:tc>
      </w:tr>
      <w:tr>
        <w:tc>
          <w:tcPr>
            <w:tcW w:type="dxa" w:w="2769"/>
          </w:tcPr>
          <w:p>
            <w:pPr>
              <w:pStyle w:val="null3"/>
            </w:pPr>
            <w:r>
              <w:rPr>
                <w:rFonts w:ascii="仿宋_GB2312" w:hAnsi="仿宋_GB2312" w:cs="仿宋_GB2312" w:eastAsia="仿宋_GB2312"/>
              </w:rPr>
              <w:t>32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医技、医辅、行政后勤科室</w:t>
            </w:r>
            <w:r>
              <w:rPr>
                <w:rFonts w:ascii="仿宋_GB2312" w:hAnsi="仿宋_GB2312" w:cs="仿宋_GB2312" w:eastAsia="仿宋_GB2312"/>
                <w:sz w:val="21"/>
              </w:rPr>
              <w:t>绩效评价方案设计</w:t>
            </w:r>
          </w:p>
        </w:tc>
      </w:tr>
      <w:tr>
        <w:tc>
          <w:tcPr>
            <w:tcW w:type="dxa" w:w="2769"/>
          </w:tcPr>
          <w:p>
            <w:pPr>
              <w:pStyle w:val="null3"/>
            </w:pPr>
            <w:r>
              <w:rPr>
                <w:rFonts w:ascii="仿宋_GB2312" w:hAnsi="仿宋_GB2312" w:cs="仿宋_GB2312" w:eastAsia="仿宋_GB2312"/>
              </w:rPr>
              <w:t>33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单项绩效评价方案设计</w:t>
            </w:r>
          </w:p>
        </w:tc>
      </w:tr>
      <w:tr>
        <w:tc>
          <w:tcPr>
            <w:tcW w:type="dxa" w:w="2769"/>
          </w:tcPr>
          <w:p>
            <w:pPr>
              <w:pStyle w:val="null3"/>
            </w:pPr>
            <w:r>
              <w:rPr>
                <w:rFonts w:ascii="仿宋_GB2312" w:hAnsi="仿宋_GB2312" w:cs="仿宋_GB2312" w:eastAsia="仿宋_GB2312"/>
              </w:rPr>
              <w:t>34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二次分配指导意见方案设计</w:t>
            </w:r>
          </w:p>
        </w:tc>
      </w:tr>
      <w:tr>
        <w:tc>
          <w:tcPr>
            <w:tcW w:type="dxa" w:w="2769"/>
          </w:tcPr>
          <w:p>
            <w:pPr>
              <w:pStyle w:val="null3"/>
            </w:pPr>
            <w:r>
              <w:rPr>
                <w:rFonts w:ascii="仿宋_GB2312" w:hAnsi="仿宋_GB2312" w:cs="仿宋_GB2312" w:eastAsia="仿宋_GB2312"/>
              </w:rPr>
              <w:t>35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DIP</w:t>
            </w:r>
            <w:r>
              <w:rPr>
                <w:rFonts w:ascii="仿宋_GB2312" w:hAnsi="仿宋_GB2312" w:cs="仿宋_GB2312" w:eastAsia="仿宋_GB2312"/>
                <w:sz w:val="21"/>
              </w:rPr>
              <w:t>绩效评价方案设计</w:t>
            </w:r>
          </w:p>
        </w:tc>
      </w:tr>
      <w:tr>
        <w:tc>
          <w:tcPr>
            <w:tcW w:type="dxa" w:w="2769"/>
          </w:tcPr>
          <w:p>
            <w:pPr>
              <w:pStyle w:val="null3"/>
            </w:pPr>
            <w:r>
              <w:rPr>
                <w:rFonts w:ascii="仿宋_GB2312" w:hAnsi="仿宋_GB2312" w:cs="仿宋_GB2312" w:eastAsia="仿宋_GB2312"/>
              </w:rPr>
              <w:t>36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聘用人员工资管理</w:t>
            </w:r>
            <w:r>
              <w:rPr>
                <w:rFonts w:ascii="仿宋_GB2312" w:hAnsi="仿宋_GB2312" w:cs="仿宋_GB2312" w:eastAsia="仿宋_GB2312"/>
                <w:sz w:val="21"/>
              </w:rPr>
              <w:t>方案</w:t>
            </w:r>
            <w:r>
              <w:rPr>
                <w:rFonts w:ascii="仿宋_GB2312" w:hAnsi="仿宋_GB2312" w:cs="仿宋_GB2312" w:eastAsia="仿宋_GB2312"/>
                <w:sz w:val="21"/>
              </w:rPr>
              <w:t>设计</w:t>
            </w:r>
          </w:p>
        </w:tc>
      </w:tr>
      <w:tr>
        <w:tc>
          <w:tcPr>
            <w:tcW w:type="dxa" w:w="2769"/>
          </w:tcPr>
          <w:p>
            <w:pPr>
              <w:pStyle w:val="null3"/>
            </w:pPr>
            <w:r>
              <w:rPr>
                <w:rFonts w:ascii="仿宋_GB2312" w:hAnsi="仿宋_GB2312" w:cs="仿宋_GB2312" w:eastAsia="仿宋_GB2312"/>
              </w:rPr>
              <w:t>37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配套的软件系统</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符合项目履约必备的技术人员。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符合项目履约必备的设备设施。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商洛市中医医院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严格按照招标文件和合同约定执行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签订合同后，初步方案制订完成且配套系统安装到位</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方案及配套系统正式运行三个月后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平稳运行满一年后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解决争议方法:本合同在履行过程中发生的争议，由甲、乙双方当事人协商解决，如协商解决不成，依法向甲方所在地人民法院起诉。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资格响应表.docx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10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提供2025年10月至今已缴存的至少一个月的社会保障资金缴存单据或社保机构开具的社会保险参保缴费情况证明，依法不需要缴纳社会保障资金的单位应提供相关证明材料。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身份证件</w:t>
            </w:r>
          </w:p>
        </w:tc>
        <w:tc>
          <w:tcPr>
            <w:tcW w:type="dxa" w:w="3322"/>
          </w:tcPr>
          <w:p>
            <w:pPr>
              <w:pStyle w:val="null3"/>
            </w:pPr>
            <w:r>
              <w:rPr>
                <w:rFonts w:ascii="仿宋_GB2312" w:hAnsi="仿宋_GB2312" w:cs="仿宋_GB2312" w:eastAsia="仿宋_GB2312"/>
              </w:rPr>
              <w:t>法定代表人授权书及被授权人身份证。（法定代表人直接磋商只须提交其身份证原件）。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供应商需在项目电子化交易系统中按要求上传相应证明文件 并进行电子签章。</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磋商报价表及分项报价表.docx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 2、报价货币符合磋商文件要求 ； 3、未超出磋商文件规定的最高限价。</w:t>
            </w:r>
          </w:p>
        </w:tc>
        <w:tc>
          <w:tcPr>
            <w:tcW w:type="dxa" w:w="1661"/>
          </w:tcPr>
          <w:p>
            <w:pPr>
              <w:pStyle w:val="null3"/>
            </w:pPr>
            <w:r>
              <w:rPr>
                <w:rFonts w:ascii="仿宋_GB2312" w:hAnsi="仿宋_GB2312" w:cs="仿宋_GB2312" w:eastAsia="仿宋_GB2312"/>
              </w:rPr>
              <w:t>响应文件封面 标的清单 磋商报价表及分项报价表.docx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技术方案.docx 业绩一览表.docx 服务需求偏离表.docx 中小企业声明函 报价表 响应文件封面 残疾人福利性单位声明函 标的清单 磋商报价表及分项报价表.docx 资格响应表.docx 响应函 商务偏离表.docx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符合“响应文件格式”的要求</w:t>
            </w:r>
          </w:p>
        </w:tc>
        <w:tc>
          <w:tcPr>
            <w:tcW w:type="dxa" w:w="1661"/>
          </w:tcPr>
          <w:p>
            <w:pPr>
              <w:pStyle w:val="null3"/>
            </w:pPr>
            <w:r>
              <w:rPr>
                <w:rFonts w:ascii="仿宋_GB2312" w:hAnsi="仿宋_GB2312" w:cs="仿宋_GB2312" w:eastAsia="仿宋_GB2312"/>
              </w:rPr>
              <w:t>技术方案.docx 业绩一览表.docx 服务需求偏离表.docx 中小企业声明函 报价表 响应文件封面 残疾人福利性单位声明函 磋商报价表及分项报价表.docx 资格响应表.docx 标的清单 商务偏离表.docx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服务期及付款方式</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磋商报价表及分项报价表.docx 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投标人或制造商具有类似项目业绩，每提供一份合同得1分，此项最多得2分。注：投标文件中附合同（或合同关键页）扫描件。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需求响应情况</w:t>
            </w:r>
          </w:p>
        </w:tc>
        <w:tc>
          <w:tcPr>
            <w:tcW w:type="dxa" w:w="2492"/>
          </w:tcPr>
          <w:p>
            <w:pPr>
              <w:pStyle w:val="null3"/>
            </w:pPr>
            <w:r>
              <w:rPr>
                <w:rFonts w:ascii="仿宋_GB2312" w:hAnsi="仿宋_GB2312" w:cs="仿宋_GB2312" w:eastAsia="仿宋_GB2312"/>
              </w:rPr>
              <w:t>1.根据采购需求中各项内容条款，投标人必须逐条应答“正偏离”、“无偏离”、“负偏离”，缺项的条款视为“负偏离”。“正偏离”或“负偏离”都必须对偏离的原因加以说明。 2.全部满足招标文件采购需求得满分30分，每负偏离一项扣1分，扣完为止。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服务需求偏离表.docx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项目需求分析</w:t>
            </w:r>
          </w:p>
        </w:tc>
        <w:tc>
          <w:tcPr>
            <w:tcW w:type="dxa" w:w="2492"/>
          </w:tcPr>
          <w:p>
            <w:pPr>
              <w:pStyle w:val="null3"/>
            </w:pPr>
            <w:r>
              <w:rPr>
                <w:rFonts w:ascii="仿宋_GB2312" w:hAnsi="仿宋_GB2312" w:cs="仿宋_GB2312" w:eastAsia="仿宋_GB2312"/>
              </w:rPr>
              <w:t>根据投标人提供的对整体项目的分析、基础数据准备、需求分析的认识理解情况进行综合评价等内容。 1.对项目认识理解阐述全面深刻、分析到位、定位准确、业务结构和流程合理得7分； 2.对项目认识理解阐述基本全面、分析基本到位、定位基本准确、业务结构和流程基本合理得3分； 3.对项目认识理解阐述不全面、分析不到位、定位不准确、业务结构和流程不合理得1分。 注：缺项不得分。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服务需求偏离表.docx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分项咨询方案</w:t>
            </w:r>
          </w:p>
        </w:tc>
        <w:tc>
          <w:tcPr>
            <w:tcW w:type="dxa" w:w="2492"/>
          </w:tcPr>
          <w:p>
            <w:pPr>
              <w:pStyle w:val="null3"/>
            </w:pPr>
            <w:r>
              <w:rPr>
                <w:rFonts w:ascii="仿宋_GB2312" w:hAnsi="仿宋_GB2312" w:cs="仿宋_GB2312" w:eastAsia="仿宋_GB2312"/>
              </w:rPr>
              <w:t>根据采购文件要求和理解，制定出符合本项目要求的系统总体设计方案等内容。根据方案的科学性、合理性、完整性、可行性等进行综合比较。 1.方案内容全面、科学、针对性、可操作性强，得13分； 2.方案内容基本全面、科学、针对性较强、具有一定的可操作性，得9分； 3.方案不合理，可操作性不强，得3分；不提供不得分。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服务需求偏离表.docx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项目组织措施</w:t>
            </w:r>
          </w:p>
        </w:tc>
        <w:tc>
          <w:tcPr>
            <w:tcW w:type="dxa" w:w="2492"/>
          </w:tcPr>
          <w:p>
            <w:pPr>
              <w:pStyle w:val="null3"/>
            </w:pPr>
            <w:r>
              <w:rPr>
                <w:rFonts w:ascii="仿宋_GB2312" w:hAnsi="仿宋_GB2312" w:cs="仿宋_GB2312" w:eastAsia="仿宋_GB2312"/>
              </w:rPr>
              <w:t>根据采购文件要求和理解，制定出符合本项目的项目进度计划安排，服务人员组织，人员管理制度、财力调配等组织管理措施方案。 1.组织管理措施方案科学合理，完全能理解并达到用户要求，且方案整体性、可靠性、先进性好，得7分； 2.组织管理措施方案科学合理性待提高，能部分理解并达到用户要求，方案整体性、可靠性、先进性好，得3分； 3.组织管理措施方案科学合理性较差，方案整体性、可靠性差，得1分。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服务需求偏离表.docx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根据项目的需求并结合自身产品特点制定实施方案，评标委员会根据供应商制定的项目技术方案的完整性、合理性、可行性等方面进行评审。 1.内容详实，方案科学、合理，考虑周全，措施到位，针对性强，完全符合甚至优于招标需求，得7分； 2.内容完整，方案基本科学、合理，基本考虑周全，措施基本到位，针对性较强，虽然能够基本满足招标的需要，但有个别细节需要进一步完善或提高，得3分 ； 3.内容完整，方案基本科学、合理，能够基本满足招标的需要，得1分。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服务需求偏离表.docx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针对提供的售后服务方案（包括售后人员安排方案、服务计划方案、服务内容阐述、按时履约的保障措施、响应时间及故障排除时间安排、应急响应方案） 1.内容详实，方案科学、合理，考虑周全，措施到位，针对性强，完全符合甚至优于招标需求，得7分； 2.内容完整，方案基本科学、合理，基本考虑周全，措施基本到位，针对性较强，虽然能够基本满足招标的需要，但有个别细节需要进一步完善或提高，得4分； 3.内容完整，方案基本科学、合理，能够基本满足招标的需要，得1分。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服务需求偏离表.docx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根据采购文件要求和理解，制定出符合本项目的培训体系、培训内容、培训方式及讲师名单、培训次数以及培训计划安排等培训方案。 1.内容详实，方案科学、合理，考虑周全，措施到位，针对性强，完全符合甚至优于招标需求，得7分； 2.内容完整，方案基本科学、合理，基本考虑周全，措施基本到位，针对性较强，虽然能够基本满足招标的需要，但有个别细节需要进一步完善或提高，得4分； 3.内容完整，方案基本科学、合理，能够基本满足招标的需要，得1分。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服务需求偏离表.docx</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价格分采用低价优先法计算（最终得分计算保留小数点后两位）： 报价得分=（评标基准价/评标报价）×20×100% 注：评标委员会认为投标供应商的报价明显低于其他通过初步审查投标供应商的报价，有可能影响产品质量或者不能诚信履约的，应当要求其在评标现场合理的时间内提供书面说明，必要时提交相关证明材料；投标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详见附件：磋商报价表及分项报价表.docx</w:t>
      </w:r>
    </w:p>
    <w:p>
      <w:pPr>
        <w:pStyle w:val="null3"/>
        <w:ind w:firstLine="960"/>
      </w:pPr>
      <w:r>
        <w:rPr>
          <w:rFonts w:ascii="仿宋_GB2312" w:hAnsi="仿宋_GB2312" w:cs="仿宋_GB2312" w:eastAsia="仿宋_GB2312"/>
        </w:rPr>
        <w:t>详见附件：服务需求偏离表.docx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